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12CB" w14:textId="1B75EFB5" w:rsidR="005903B6" w:rsidRDefault="005903B6" w:rsidP="005903B6">
      <w:pPr>
        <w:spacing w:after="0"/>
        <w:rPr>
          <w:rFonts w:ascii="Cambria" w:hAnsi="Cambria"/>
          <w:b/>
          <w:sz w:val="36"/>
          <w:szCs w:val="28"/>
        </w:rPr>
      </w:pPr>
      <w:r w:rsidRPr="005903B6">
        <w:rPr>
          <w:rFonts w:ascii="Cambria" w:hAnsi="Cambria"/>
          <w:b/>
          <w:sz w:val="36"/>
          <w:szCs w:val="28"/>
        </w:rPr>
        <w:t xml:space="preserve">Faculty </w:t>
      </w:r>
      <w:r>
        <w:rPr>
          <w:rFonts w:ascii="Cambria" w:hAnsi="Cambria"/>
          <w:b/>
          <w:sz w:val="36"/>
          <w:szCs w:val="28"/>
        </w:rPr>
        <w:t>E</w:t>
      </w:r>
      <w:r w:rsidRPr="005903B6">
        <w:rPr>
          <w:rFonts w:ascii="Cambria" w:hAnsi="Cambria"/>
          <w:b/>
          <w:sz w:val="36"/>
          <w:szCs w:val="28"/>
        </w:rPr>
        <w:t xml:space="preserve">valuation, </w:t>
      </w:r>
      <w:r>
        <w:rPr>
          <w:rFonts w:ascii="Cambria" w:hAnsi="Cambria"/>
          <w:b/>
          <w:sz w:val="36"/>
          <w:szCs w:val="28"/>
        </w:rPr>
        <w:t>M</w:t>
      </w:r>
      <w:r w:rsidRPr="005903B6">
        <w:rPr>
          <w:rFonts w:ascii="Cambria" w:hAnsi="Cambria"/>
          <w:b/>
          <w:sz w:val="36"/>
          <w:szCs w:val="28"/>
        </w:rPr>
        <w:t xml:space="preserve">anagement &amp; </w:t>
      </w:r>
      <w:r>
        <w:rPr>
          <w:rFonts w:ascii="Cambria" w:hAnsi="Cambria"/>
          <w:b/>
          <w:sz w:val="36"/>
          <w:szCs w:val="28"/>
        </w:rPr>
        <w:t>D</w:t>
      </w:r>
      <w:r w:rsidRPr="005903B6">
        <w:rPr>
          <w:rFonts w:ascii="Cambria" w:hAnsi="Cambria"/>
          <w:b/>
          <w:sz w:val="36"/>
          <w:szCs w:val="28"/>
        </w:rPr>
        <w:t xml:space="preserve">evelopment </w:t>
      </w:r>
    </w:p>
    <w:p w14:paraId="69CCBF41" w14:textId="1BD7AC14" w:rsidR="00DC4460" w:rsidRDefault="00920C0D" w:rsidP="00393AEB">
      <w:pPr>
        <w:spacing w:after="0"/>
        <w:rPr>
          <w:rFonts w:ascii="Cambria" w:hAnsi="Cambria"/>
          <w:sz w:val="24"/>
          <w:szCs w:val="28"/>
        </w:rPr>
      </w:pPr>
      <w:r w:rsidRPr="00920C0D">
        <w:rPr>
          <w:rFonts w:ascii="Cambria" w:hAnsi="Cambria"/>
          <w:sz w:val="24"/>
          <w:szCs w:val="28"/>
        </w:rPr>
        <w:t>Kira Molas-Torreblanca, DO, MPH</w:t>
      </w:r>
      <w:r w:rsidR="00BA72F2">
        <w:rPr>
          <w:rFonts w:ascii="Cambria" w:hAnsi="Cambria"/>
          <w:sz w:val="24"/>
          <w:szCs w:val="28"/>
        </w:rPr>
        <w:t xml:space="preserve"> and</w:t>
      </w:r>
      <w:r>
        <w:rPr>
          <w:rFonts w:ascii="Cambria" w:hAnsi="Cambria"/>
          <w:sz w:val="24"/>
          <w:szCs w:val="28"/>
        </w:rPr>
        <w:t xml:space="preserve"> Aneesh K. Tosh, MD, MS</w:t>
      </w:r>
    </w:p>
    <w:p w14:paraId="2E21A6A2" w14:textId="00AE533C" w:rsidR="005903B6" w:rsidRPr="00DC4460" w:rsidRDefault="00D56947" w:rsidP="005903B6">
      <w:pPr>
        <w:spacing w:after="0"/>
        <w:rPr>
          <w:rFonts w:ascii="Cambria" w:hAnsi="Cambria"/>
        </w:rPr>
      </w:pPr>
      <w:r>
        <w:rPr>
          <w:rFonts w:ascii="Cambria" w:hAnsi="Cambria"/>
        </w:rPr>
        <w:t>Edited by Alan Chin, MD and Rebecca Wallihan, MD</w:t>
      </w:r>
    </w:p>
    <w:p w14:paraId="71CC85B5" w14:textId="77777777" w:rsidR="00BA72F2" w:rsidRDefault="00BA72F2" w:rsidP="00DC4460">
      <w:pPr>
        <w:spacing w:after="0"/>
        <w:rPr>
          <w:rFonts w:ascii="Cambria" w:hAnsi="Cambria"/>
          <w:color w:val="0070C0"/>
          <w:sz w:val="28"/>
          <w:szCs w:val="28"/>
        </w:rPr>
      </w:pPr>
    </w:p>
    <w:p w14:paraId="0D6D0D2C" w14:textId="5A6F102D" w:rsidR="00DC4460" w:rsidRPr="007C1A9B" w:rsidRDefault="00DC4460" w:rsidP="00DC4460">
      <w:pPr>
        <w:spacing w:after="0"/>
        <w:rPr>
          <w:rFonts w:ascii="Cambria" w:hAnsi="Cambria"/>
          <w:color w:val="0070C0"/>
          <w:sz w:val="28"/>
          <w:szCs w:val="28"/>
        </w:rPr>
      </w:pPr>
      <w:r w:rsidRPr="007C1A9B">
        <w:rPr>
          <w:rFonts w:ascii="Cambria" w:hAnsi="Cambria"/>
          <w:color w:val="0070C0"/>
          <w:sz w:val="28"/>
          <w:szCs w:val="28"/>
        </w:rPr>
        <w:t>Intro</w:t>
      </w:r>
      <w:r w:rsidR="007C1A9B" w:rsidRPr="007C1A9B">
        <w:rPr>
          <w:rFonts w:ascii="Cambria" w:hAnsi="Cambria"/>
          <w:color w:val="0070C0"/>
          <w:sz w:val="28"/>
          <w:szCs w:val="28"/>
        </w:rPr>
        <w:t>duction</w:t>
      </w:r>
    </w:p>
    <w:p w14:paraId="5536EF05" w14:textId="3ABBC76A" w:rsidR="00DC4460" w:rsidRPr="005903B6" w:rsidRDefault="00920C0D" w:rsidP="00DC4460">
      <w:pPr>
        <w:spacing w:after="0"/>
        <w:rPr>
          <w:rFonts w:ascii="Cambria" w:hAnsi="Cambria"/>
          <w:sz w:val="24"/>
          <w:szCs w:val="24"/>
        </w:rPr>
      </w:pPr>
      <w:r w:rsidRPr="005903B6">
        <w:rPr>
          <w:rFonts w:ascii="Cambria" w:hAnsi="Cambria"/>
          <w:sz w:val="24"/>
          <w:szCs w:val="24"/>
        </w:rPr>
        <w:t>Faculty development is a required component of graduate medical education.</w:t>
      </w:r>
      <w:r w:rsidR="004A5D28" w:rsidRPr="005903B6">
        <w:rPr>
          <w:rFonts w:ascii="Cambria" w:hAnsi="Cambria"/>
          <w:sz w:val="24"/>
          <w:szCs w:val="24"/>
        </w:rPr>
        <w:t xml:space="preserve"> </w:t>
      </w:r>
      <w:r w:rsidR="005903B6" w:rsidRPr="005903B6">
        <w:rPr>
          <w:rFonts w:ascii="Cambria" w:hAnsi="Cambria"/>
          <w:sz w:val="24"/>
          <w:szCs w:val="24"/>
        </w:rPr>
        <w:t xml:space="preserve">It is important to properly identify core faculty in your program and ensure faculty are being evaluated by residents on their supervision, teaching, and mentoring skills. </w:t>
      </w:r>
      <w:r w:rsidR="004A5D28" w:rsidRPr="005903B6">
        <w:rPr>
          <w:rFonts w:ascii="Cambria" w:hAnsi="Cambria"/>
          <w:sz w:val="24"/>
          <w:szCs w:val="24"/>
        </w:rPr>
        <w:t xml:space="preserve">In addition, the program director may encounter teaching faculty who are struggling in their </w:t>
      </w:r>
      <w:r w:rsidR="00C15430" w:rsidRPr="005903B6">
        <w:rPr>
          <w:rFonts w:ascii="Cambria" w:hAnsi="Cambria"/>
          <w:sz w:val="24"/>
          <w:szCs w:val="24"/>
        </w:rPr>
        <w:t>professional</w:t>
      </w:r>
      <w:r w:rsidR="004A5D28" w:rsidRPr="005903B6">
        <w:rPr>
          <w:rFonts w:ascii="Cambria" w:hAnsi="Cambria"/>
          <w:sz w:val="24"/>
          <w:szCs w:val="24"/>
        </w:rPr>
        <w:t xml:space="preserve"> responsibilities.</w:t>
      </w:r>
      <w:r w:rsidRPr="005903B6">
        <w:rPr>
          <w:rFonts w:ascii="Cambria" w:hAnsi="Cambria"/>
          <w:sz w:val="24"/>
          <w:szCs w:val="24"/>
        </w:rPr>
        <w:t xml:space="preserve"> This section discusses the ACGME requirements and resources pertaining to faculty development</w:t>
      </w:r>
      <w:r w:rsidR="004A5D28" w:rsidRPr="005903B6">
        <w:rPr>
          <w:rFonts w:ascii="Cambria" w:hAnsi="Cambria"/>
          <w:sz w:val="24"/>
          <w:szCs w:val="24"/>
        </w:rPr>
        <w:t xml:space="preserve"> </w:t>
      </w:r>
      <w:r w:rsidR="005903B6" w:rsidRPr="005903B6">
        <w:rPr>
          <w:rFonts w:ascii="Cambria" w:hAnsi="Cambria"/>
          <w:sz w:val="24"/>
          <w:szCs w:val="24"/>
        </w:rPr>
        <w:t xml:space="preserve">such as identifying core faculty, evaluating faculty, conducting faculty development, </w:t>
      </w:r>
      <w:r w:rsidR="004A5D28" w:rsidRPr="005903B6">
        <w:rPr>
          <w:rFonts w:ascii="Cambria" w:hAnsi="Cambria"/>
          <w:sz w:val="24"/>
          <w:szCs w:val="24"/>
        </w:rPr>
        <w:t xml:space="preserve">and </w:t>
      </w:r>
      <w:r w:rsidR="00D56947">
        <w:rPr>
          <w:rFonts w:ascii="Cambria" w:hAnsi="Cambria"/>
          <w:sz w:val="24"/>
          <w:szCs w:val="24"/>
        </w:rPr>
        <w:t xml:space="preserve">working with </w:t>
      </w:r>
      <w:r w:rsidR="004A5D28" w:rsidRPr="005903B6">
        <w:rPr>
          <w:rFonts w:ascii="Cambria" w:hAnsi="Cambria"/>
          <w:sz w:val="24"/>
          <w:szCs w:val="24"/>
        </w:rPr>
        <w:t>struggling faculty</w:t>
      </w:r>
      <w:r w:rsidRPr="005903B6">
        <w:rPr>
          <w:rFonts w:ascii="Cambria" w:hAnsi="Cambria"/>
          <w:sz w:val="24"/>
          <w:szCs w:val="24"/>
        </w:rPr>
        <w:t xml:space="preserve">. </w:t>
      </w:r>
    </w:p>
    <w:p w14:paraId="086ABCE2" w14:textId="77777777" w:rsidR="00920C0D" w:rsidRDefault="00920C0D" w:rsidP="00DC4460">
      <w:pPr>
        <w:spacing w:after="0"/>
        <w:rPr>
          <w:rFonts w:ascii="Cambria" w:hAnsi="Cambria"/>
        </w:rPr>
      </w:pPr>
    </w:p>
    <w:p w14:paraId="19B42A69" w14:textId="50DE0433" w:rsidR="00BA72F2" w:rsidRPr="00E35FCC" w:rsidRDefault="005903B6" w:rsidP="00E35FCC">
      <w:pPr>
        <w:spacing w:after="0"/>
        <w:rPr>
          <w:rFonts w:ascii="Cambria" w:hAnsi="Cambria"/>
          <w:color w:val="0070C0"/>
          <w:sz w:val="28"/>
          <w:szCs w:val="28"/>
        </w:rPr>
      </w:pPr>
      <w:r w:rsidRPr="00E35FCC">
        <w:rPr>
          <w:rFonts w:ascii="Cambria" w:hAnsi="Cambria"/>
          <w:color w:val="0070C0"/>
          <w:sz w:val="28"/>
          <w:szCs w:val="28"/>
        </w:rPr>
        <w:t>Core Faculty</w:t>
      </w:r>
    </w:p>
    <w:p w14:paraId="52AB9965" w14:textId="77777777" w:rsidR="00B179B6" w:rsidRPr="00E35FCC" w:rsidRDefault="00B179B6" w:rsidP="00E35FCC">
      <w:pPr>
        <w:rPr>
          <w:rFonts w:ascii="Cambria" w:hAnsi="Cambria" w:cstheme="minorHAnsi"/>
        </w:rPr>
      </w:pPr>
      <w:r w:rsidRPr="00E35FCC">
        <w:rPr>
          <w:rFonts w:ascii="Cambria" w:eastAsia="Times New Roman" w:hAnsi="Cambria"/>
          <w:sz w:val="24"/>
          <w:szCs w:val="24"/>
        </w:rPr>
        <w:t xml:space="preserve">Adapted from: </w:t>
      </w:r>
      <w:r w:rsidRPr="00E35FCC">
        <w:rPr>
          <w:rFonts w:ascii="Cambria" w:hAnsi="Cambria" w:cstheme="minorHAnsi"/>
        </w:rPr>
        <w:t>Guidelines for Core Teaching Faculty in Pediatric Subspecialty Fellowship, Children’s Mercy Kansas City</w:t>
      </w:r>
    </w:p>
    <w:p w14:paraId="6A170B6F" w14:textId="487345E0" w:rsidR="005903B6" w:rsidRPr="00021A51" w:rsidRDefault="005903B6" w:rsidP="005903B6">
      <w:pPr>
        <w:spacing w:before="100" w:beforeAutospacing="1" w:after="100" w:afterAutospacing="1"/>
        <w:rPr>
          <w:rFonts w:ascii="Cambria" w:eastAsia="Times New Roman" w:hAnsi="Cambria" w:cstheme="minorHAnsi"/>
          <w:sz w:val="24"/>
          <w:szCs w:val="24"/>
        </w:rPr>
      </w:pPr>
      <w:r w:rsidRPr="00021A51">
        <w:rPr>
          <w:rFonts w:ascii="Cambria" w:eastAsia="Times New Roman" w:hAnsi="Cambria"/>
          <w:sz w:val="24"/>
          <w:szCs w:val="24"/>
        </w:rPr>
        <w:t>I</w:t>
      </w:r>
      <w:r w:rsidRPr="00021A51">
        <w:rPr>
          <w:rFonts w:ascii="Cambria" w:hAnsi="Cambria"/>
          <w:sz w:val="24"/>
          <w:szCs w:val="24"/>
        </w:rPr>
        <w:t>dentifying core faculty in a residency program is essential for creating and maintaining an optim</w:t>
      </w:r>
      <w:r w:rsidR="00D56947">
        <w:rPr>
          <w:rFonts w:ascii="Cambria" w:hAnsi="Cambria"/>
          <w:sz w:val="24"/>
          <w:szCs w:val="24"/>
        </w:rPr>
        <w:t>al</w:t>
      </w:r>
      <w:r w:rsidRPr="00021A51">
        <w:rPr>
          <w:rFonts w:ascii="Cambria" w:hAnsi="Cambria"/>
          <w:sz w:val="24"/>
          <w:szCs w:val="24"/>
        </w:rPr>
        <w:t xml:space="preserve"> educational experience. The program director must ensure that the appointed teaching faculty feel comfortable and equipped to manage the additional responsibilities of supervising a resident while on clinical service, serving as a mentor and willing to be listed on the programs’ roster as core faculty. The criteria listed here are meant to provide a framework for residency program administration to identify, select</w:t>
      </w:r>
      <w:r w:rsidR="00D56947">
        <w:rPr>
          <w:rFonts w:ascii="Cambria" w:hAnsi="Cambria"/>
          <w:sz w:val="24"/>
          <w:szCs w:val="24"/>
        </w:rPr>
        <w:t>,</w:t>
      </w:r>
      <w:r w:rsidRPr="00021A51">
        <w:rPr>
          <w:rFonts w:ascii="Cambria" w:hAnsi="Cambria"/>
          <w:sz w:val="24"/>
          <w:szCs w:val="24"/>
        </w:rPr>
        <w:t xml:space="preserve"> and invite faculty members that are suitable for this very important role. </w:t>
      </w:r>
      <w:r w:rsidR="00D56947">
        <w:rPr>
          <w:rFonts w:ascii="Cambria" w:hAnsi="Cambria"/>
          <w:sz w:val="24"/>
          <w:szCs w:val="24"/>
        </w:rPr>
        <w:t>Core faculty</w:t>
      </w:r>
      <w:r w:rsidR="00D56947" w:rsidRPr="00021A51">
        <w:rPr>
          <w:rFonts w:ascii="Cambria" w:hAnsi="Cambria"/>
          <w:sz w:val="24"/>
          <w:szCs w:val="24"/>
        </w:rPr>
        <w:t xml:space="preserve"> </w:t>
      </w:r>
      <w:r w:rsidRPr="00021A51">
        <w:rPr>
          <w:rFonts w:ascii="Cambria" w:eastAsia="Times New Roman" w:hAnsi="Cambria" w:cstheme="minorHAnsi"/>
          <w:sz w:val="24"/>
          <w:szCs w:val="24"/>
        </w:rPr>
        <w:t>must be designated by the program director</w:t>
      </w:r>
      <w:r w:rsidR="00D56947">
        <w:rPr>
          <w:rFonts w:ascii="Cambria" w:eastAsia="Times New Roman" w:hAnsi="Cambria" w:cstheme="minorHAnsi"/>
          <w:sz w:val="24"/>
          <w:szCs w:val="24"/>
        </w:rPr>
        <w:t xml:space="preserve"> </w:t>
      </w:r>
      <w:r w:rsidR="00D56947">
        <w:rPr>
          <w:rFonts w:ascii="Cambria" w:hAnsi="Cambria"/>
          <w:sz w:val="24"/>
          <w:szCs w:val="24"/>
        </w:rPr>
        <w:t>and y</w:t>
      </w:r>
      <w:r w:rsidR="00D56947" w:rsidRPr="00021A51">
        <w:rPr>
          <w:rFonts w:ascii="Cambria" w:hAnsi="Cambria"/>
          <w:sz w:val="24"/>
          <w:szCs w:val="24"/>
        </w:rPr>
        <w:t xml:space="preserve">ou should ensure that you appoint faculty members who will be able to fulfill </w:t>
      </w:r>
      <w:r w:rsidR="00D56947">
        <w:rPr>
          <w:rFonts w:ascii="Cambria" w:hAnsi="Cambria"/>
          <w:sz w:val="24"/>
          <w:szCs w:val="24"/>
        </w:rPr>
        <w:t>t</w:t>
      </w:r>
      <w:r w:rsidR="00D56947" w:rsidRPr="00021A51">
        <w:rPr>
          <w:rFonts w:ascii="Cambria" w:hAnsi="Cambria"/>
          <w:sz w:val="24"/>
          <w:szCs w:val="24"/>
        </w:rPr>
        <w:t>his role</w:t>
      </w:r>
      <w:r w:rsidRPr="00021A51">
        <w:rPr>
          <w:rFonts w:ascii="Cambria" w:eastAsia="Times New Roman" w:hAnsi="Cambria" w:cstheme="minorHAnsi"/>
          <w:sz w:val="24"/>
          <w:szCs w:val="24"/>
        </w:rPr>
        <w:t>.</w:t>
      </w:r>
      <w:r w:rsidRPr="00021A51">
        <w:rPr>
          <w:rFonts w:ascii="Cambria" w:eastAsia="Times New Roman" w:hAnsi="Cambria" w:cstheme="minorHAnsi"/>
          <w:position w:val="8"/>
          <w:sz w:val="24"/>
          <w:szCs w:val="24"/>
        </w:rPr>
        <w:t xml:space="preserve"> </w:t>
      </w:r>
      <w:r w:rsidRPr="00021A51">
        <w:rPr>
          <w:rFonts w:ascii="Cambria" w:eastAsia="Times New Roman" w:hAnsi="Cambria" w:cstheme="minorHAnsi"/>
          <w:sz w:val="24"/>
          <w:szCs w:val="24"/>
        </w:rPr>
        <w:t xml:space="preserve">Core faculty members </w:t>
      </w:r>
      <w:r w:rsidRPr="00021A51">
        <w:rPr>
          <w:rFonts w:ascii="Cambria" w:eastAsia="Times New Roman" w:hAnsi="Cambria" w:cstheme="minorHAnsi"/>
          <w:sz w:val="24"/>
          <w:szCs w:val="24"/>
          <w:u w:val="single"/>
        </w:rPr>
        <w:t>must</w:t>
      </w:r>
      <w:r w:rsidRPr="00021A51">
        <w:rPr>
          <w:rFonts w:ascii="Cambria" w:eastAsia="Times New Roman" w:hAnsi="Cambria" w:cstheme="minorHAnsi"/>
          <w:sz w:val="24"/>
          <w:szCs w:val="24"/>
        </w:rPr>
        <w:t xml:space="preserve"> complete the annual ACGME Faculty Survey</w:t>
      </w:r>
      <w:r>
        <w:rPr>
          <w:rFonts w:ascii="Cambria" w:eastAsia="Times New Roman" w:hAnsi="Cambria" w:cstheme="minorHAnsi"/>
          <w:sz w:val="24"/>
          <w:szCs w:val="24"/>
        </w:rPr>
        <w:t>.</w:t>
      </w:r>
      <w:r w:rsidRPr="00021A51">
        <w:rPr>
          <w:rFonts w:ascii="Cambria" w:eastAsia="Times New Roman" w:hAnsi="Cambria" w:cstheme="minorHAnsi"/>
          <w:position w:val="8"/>
          <w:sz w:val="24"/>
          <w:szCs w:val="24"/>
        </w:rPr>
        <w:t xml:space="preserve"> </w:t>
      </w:r>
    </w:p>
    <w:p w14:paraId="5ED9ED34" w14:textId="094C8B81" w:rsidR="005903B6" w:rsidRPr="00E35FCC" w:rsidRDefault="005903B6" w:rsidP="00E35FCC">
      <w:pPr>
        <w:spacing w:after="0"/>
        <w:rPr>
          <w:rFonts w:ascii="Cambria" w:hAnsi="Cambria" w:cstheme="minorHAnsi"/>
          <w:i/>
          <w:iCs/>
          <w:color w:val="2F5496" w:themeColor="accent1" w:themeShade="BF"/>
          <w:sz w:val="24"/>
          <w:szCs w:val="24"/>
        </w:rPr>
      </w:pPr>
      <w:r w:rsidRPr="00E35FCC">
        <w:rPr>
          <w:rFonts w:ascii="Cambria" w:hAnsi="Cambria" w:cstheme="minorHAnsi"/>
          <w:i/>
          <w:iCs/>
          <w:color w:val="2F5496" w:themeColor="accent1" w:themeShade="BF"/>
          <w:sz w:val="24"/>
          <w:szCs w:val="24"/>
        </w:rPr>
        <w:t>Criteria &amp; Expectations</w:t>
      </w:r>
    </w:p>
    <w:p w14:paraId="696DDFD2" w14:textId="77777777" w:rsidR="005903B6" w:rsidRPr="005903B6" w:rsidRDefault="005903B6" w:rsidP="005903B6">
      <w:pPr>
        <w:pStyle w:val="ListParagraph"/>
        <w:numPr>
          <w:ilvl w:val="0"/>
          <w:numId w:val="2"/>
        </w:numPr>
        <w:ind w:hanging="450"/>
        <w:rPr>
          <w:rFonts w:ascii="Cambria" w:hAnsi="Cambria"/>
        </w:rPr>
      </w:pPr>
      <w:r w:rsidRPr="005903B6">
        <w:rPr>
          <w:rFonts w:ascii="Cambria" w:hAnsi="Cambria"/>
        </w:rPr>
        <w:t>ACGME Common Program Requirements (sections II.b.1, II.b.2):</w:t>
      </w:r>
    </w:p>
    <w:p w14:paraId="373065C3" w14:textId="58908145" w:rsidR="005903B6" w:rsidRPr="005903B6" w:rsidRDefault="005903B6" w:rsidP="005903B6">
      <w:pPr>
        <w:pStyle w:val="ListParagraph"/>
        <w:numPr>
          <w:ilvl w:val="1"/>
          <w:numId w:val="2"/>
        </w:numPr>
        <w:ind w:hanging="450"/>
        <w:rPr>
          <w:rFonts w:ascii="Cambria" w:hAnsi="Cambria"/>
        </w:rPr>
      </w:pPr>
      <w:r w:rsidRPr="005903B6">
        <w:rPr>
          <w:rFonts w:ascii="Cambria" w:hAnsi="Cambria"/>
        </w:rPr>
        <w:t>Demonstrate strong interest in education of residents</w:t>
      </w:r>
    </w:p>
    <w:p w14:paraId="56BCC7F3" w14:textId="3ABC10C1"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D</w:t>
      </w:r>
      <w:r w:rsidR="005903B6" w:rsidRPr="005903B6">
        <w:rPr>
          <w:rFonts w:ascii="Cambria" w:eastAsia="Times New Roman" w:hAnsi="Cambria" w:cstheme="minorHAnsi"/>
          <w:kern w:val="0"/>
          <w14:ligatures w14:val="none"/>
        </w:rPr>
        <w:t xml:space="preserve">evote sufficient time to the educational program to fulfill their supervisory and teaching responsibilities </w:t>
      </w:r>
    </w:p>
    <w:p w14:paraId="234F9483" w14:textId="5BDB8A0A"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A</w:t>
      </w:r>
      <w:r w:rsidR="005903B6" w:rsidRPr="005903B6">
        <w:rPr>
          <w:rFonts w:ascii="Cambria" w:eastAsia="Times New Roman" w:hAnsi="Cambria" w:cstheme="minorHAnsi"/>
          <w:kern w:val="0"/>
          <w14:ligatures w14:val="none"/>
        </w:rPr>
        <w:t xml:space="preserve">dminister and maintain an educational environment conducive to educating residents </w:t>
      </w:r>
    </w:p>
    <w:p w14:paraId="3F013A42" w14:textId="104B77E1"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R</w:t>
      </w:r>
      <w:r w:rsidR="005903B6" w:rsidRPr="005903B6">
        <w:rPr>
          <w:rFonts w:ascii="Cambria" w:eastAsia="Times New Roman" w:hAnsi="Cambria" w:cstheme="minorHAnsi"/>
          <w:kern w:val="0"/>
          <w14:ligatures w14:val="none"/>
        </w:rPr>
        <w:t xml:space="preserve">egularly participate in organized clinical discussions, rounds, journal clubs, and/or conferences </w:t>
      </w:r>
    </w:p>
    <w:p w14:paraId="2D24D98F" w14:textId="3A42A8D6"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P</w:t>
      </w:r>
      <w:r w:rsidR="005903B6" w:rsidRPr="005903B6">
        <w:rPr>
          <w:rFonts w:ascii="Cambria" w:eastAsia="Times New Roman" w:hAnsi="Cambria" w:cstheme="minorHAnsi"/>
          <w:kern w:val="0"/>
          <w14:ligatures w14:val="none"/>
        </w:rPr>
        <w:t xml:space="preserve">ursue faculty development designed to enhance their skills at least annually </w:t>
      </w:r>
    </w:p>
    <w:p w14:paraId="79BB05C8" w14:textId="2A53F921"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B</w:t>
      </w:r>
      <w:r w:rsidR="005903B6" w:rsidRPr="005903B6">
        <w:rPr>
          <w:rFonts w:ascii="Cambria" w:eastAsia="Times New Roman" w:hAnsi="Cambria" w:cstheme="minorHAnsi"/>
          <w:kern w:val="0"/>
          <w14:ligatures w14:val="none"/>
        </w:rPr>
        <w:t xml:space="preserve">e role models of professionalism </w:t>
      </w:r>
    </w:p>
    <w:p w14:paraId="16D9CAC3" w14:textId="7289233A" w:rsidR="005903B6" w:rsidRPr="005903B6" w:rsidRDefault="00D56947"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Pr>
          <w:rFonts w:ascii="Cambria" w:eastAsia="Times New Roman" w:hAnsi="Cambria" w:cstheme="minorHAnsi"/>
          <w:kern w:val="0"/>
          <w14:ligatures w14:val="none"/>
        </w:rPr>
        <w:t>D</w:t>
      </w:r>
      <w:r w:rsidR="005903B6" w:rsidRPr="005903B6">
        <w:rPr>
          <w:rFonts w:ascii="Cambria" w:eastAsia="Times New Roman" w:hAnsi="Cambria" w:cstheme="minorHAnsi"/>
          <w:kern w:val="0"/>
          <w14:ligatures w14:val="none"/>
        </w:rPr>
        <w:t xml:space="preserve">emonstrate commitment to the delivery of safe, quality, cost-effective, patient-centered care </w:t>
      </w:r>
    </w:p>
    <w:p w14:paraId="3C444D1E" w14:textId="77777777" w:rsidR="005903B6" w:rsidRPr="005903B6" w:rsidRDefault="005903B6" w:rsidP="005903B6">
      <w:pPr>
        <w:pStyle w:val="ListParagraph"/>
        <w:numPr>
          <w:ilvl w:val="0"/>
          <w:numId w:val="2"/>
        </w:numPr>
        <w:spacing w:before="100" w:beforeAutospacing="1" w:after="100" w:afterAutospacing="1"/>
        <w:ind w:left="810" w:hanging="540"/>
        <w:rPr>
          <w:rFonts w:ascii="Cambria" w:eastAsia="Times New Roman" w:hAnsi="Cambria" w:cstheme="minorHAnsi"/>
          <w:kern w:val="0"/>
          <w14:ligatures w14:val="none"/>
        </w:rPr>
      </w:pPr>
      <w:r w:rsidRPr="005903B6">
        <w:rPr>
          <w:rFonts w:ascii="Cambria" w:hAnsi="Cambria"/>
        </w:rPr>
        <w:t xml:space="preserve">ACGME Common Program Requirements (section </w:t>
      </w:r>
      <w:r w:rsidRPr="005903B6">
        <w:rPr>
          <w:rFonts w:ascii="Cambria" w:eastAsia="Times New Roman" w:hAnsi="Cambria" w:cstheme="minorHAnsi"/>
          <w:kern w:val="0"/>
          <w14:ligatures w14:val="none"/>
        </w:rPr>
        <w:t>II.b.4 “CORE FACULTY”):</w:t>
      </w:r>
    </w:p>
    <w:p w14:paraId="234F4D2B" w14:textId="77777777" w:rsidR="005903B6" w:rsidRPr="005903B6" w:rsidRDefault="005903B6" w:rsidP="005903B6">
      <w:pPr>
        <w:pStyle w:val="ListParagraph"/>
        <w:numPr>
          <w:ilvl w:val="1"/>
          <w:numId w:val="2"/>
        </w:numPr>
        <w:spacing w:before="100" w:beforeAutospacing="1" w:after="100" w:afterAutospacing="1"/>
        <w:ind w:hanging="450"/>
        <w:rPr>
          <w:rFonts w:ascii="Cambria" w:eastAsia="Times New Roman" w:hAnsi="Cambria" w:cstheme="minorHAnsi"/>
          <w:kern w:val="0"/>
          <w14:ligatures w14:val="none"/>
        </w:rPr>
      </w:pPr>
      <w:r w:rsidRPr="005903B6">
        <w:rPr>
          <w:rFonts w:ascii="Cambria" w:eastAsia="Times New Roman" w:hAnsi="Cambria" w:cstheme="minorHAnsi"/>
          <w:kern w:val="0"/>
          <w14:ligatures w14:val="none"/>
        </w:rPr>
        <w:lastRenderedPageBreak/>
        <w:t xml:space="preserve">In addition to the program director, there must be at least one ABP- or ABOP-certified core faculty member for every five residents in the program. </w:t>
      </w:r>
    </w:p>
    <w:p w14:paraId="34503939" w14:textId="77777777" w:rsidR="005903B6" w:rsidRPr="005903B6" w:rsidRDefault="005903B6" w:rsidP="005903B6">
      <w:pPr>
        <w:pStyle w:val="ListParagraph"/>
        <w:numPr>
          <w:ilvl w:val="0"/>
          <w:numId w:val="2"/>
        </w:numPr>
        <w:spacing w:after="160" w:line="259" w:lineRule="auto"/>
        <w:ind w:hanging="450"/>
        <w:rPr>
          <w:rFonts w:ascii="Cambria" w:hAnsi="Cambria"/>
        </w:rPr>
      </w:pPr>
      <w:r w:rsidRPr="005903B6">
        <w:rPr>
          <w:rFonts w:ascii="Cambria" w:hAnsi="Cambria"/>
        </w:rPr>
        <w:t>Faculty rank of Assistant Professor of Pediatrics or higher</w:t>
      </w:r>
    </w:p>
    <w:p w14:paraId="04B007F1" w14:textId="77777777" w:rsidR="005903B6" w:rsidRPr="005903B6" w:rsidRDefault="005903B6" w:rsidP="005903B6">
      <w:pPr>
        <w:pStyle w:val="ListParagraph"/>
        <w:numPr>
          <w:ilvl w:val="0"/>
          <w:numId w:val="2"/>
        </w:numPr>
        <w:spacing w:after="160" w:line="259" w:lineRule="auto"/>
        <w:ind w:hanging="450"/>
        <w:rPr>
          <w:rFonts w:ascii="Cambria" w:hAnsi="Cambria"/>
        </w:rPr>
      </w:pPr>
      <w:r w:rsidRPr="005903B6">
        <w:rPr>
          <w:rFonts w:ascii="Cambria" w:hAnsi="Cambria"/>
        </w:rPr>
        <w:t>At least 3 years of clinical experience as a pediatric attending (all subspecialties), demonstrate scholarly productivity and consistently excellent to outstanding evaluation of clinical teaching by medical students and residents and regularly good to excellent 360-degree evaluations (at least two years).</w:t>
      </w:r>
    </w:p>
    <w:p w14:paraId="5DCD9221" w14:textId="77777777" w:rsidR="005903B6" w:rsidRDefault="005903B6" w:rsidP="005903B6">
      <w:pPr>
        <w:spacing w:after="0"/>
        <w:jc w:val="center"/>
        <w:rPr>
          <w:rFonts w:ascii="Cambria" w:hAnsi="Cambria"/>
        </w:rPr>
      </w:pPr>
      <w:r>
        <w:rPr>
          <w:rFonts w:ascii="Cambria" w:hAnsi="Cambria"/>
        </w:rPr>
        <w:t>_________</w:t>
      </w:r>
    </w:p>
    <w:p w14:paraId="6521D3F7" w14:textId="77777777" w:rsidR="005903B6" w:rsidRPr="005903B6" w:rsidRDefault="005903B6" w:rsidP="005903B6">
      <w:pPr>
        <w:pStyle w:val="ListParagraph"/>
        <w:rPr>
          <w:rFonts w:cstheme="minorHAnsi"/>
        </w:rPr>
      </w:pPr>
    </w:p>
    <w:p w14:paraId="6D123AA9" w14:textId="7608BD39" w:rsidR="00BA72F2" w:rsidRDefault="005903B6" w:rsidP="005903B6">
      <w:pPr>
        <w:spacing w:after="0"/>
        <w:rPr>
          <w:rFonts w:ascii="Cambria" w:hAnsi="Cambria" w:cstheme="minorHAnsi"/>
          <w:sz w:val="24"/>
          <w:szCs w:val="24"/>
        </w:rPr>
      </w:pPr>
      <w:r w:rsidRPr="00E35FCC">
        <w:rPr>
          <w:rFonts w:ascii="Cambria" w:hAnsi="Cambria"/>
          <w:color w:val="0070C0"/>
          <w:sz w:val="28"/>
          <w:szCs w:val="28"/>
        </w:rPr>
        <w:t>Faculty Evaluations</w:t>
      </w:r>
    </w:p>
    <w:p w14:paraId="24F2959D" w14:textId="48501A6F" w:rsidR="005903B6" w:rsidRPr="005903B6" w:rsidRDefault="00393AEB" w:rsidP="005903B6">
      <w:pPr>
        <w:spacing w:after="0"/>
        <w:rPr>
          <w:rFonts w:ascii="Cambria" w:hAnsi="Cambria"/>
          <w:color w:val="0070C0"/>
          <w:sz w:val="28"/>
          <w:szCs w:val="28"/>
        </w:rPr>
      </w:pPr>
      <w:r>
        <w:rPr>
          <w:rFonts w:ascii="Cambria" w:hAnsi="Cambria" w:cstheme="minorHAnsi"/>
          <w:sz w:val="24"/>
          <w:szCs w:val="24"/>
        </w:rPr>
        <w:t>“</w:t>
      </w:r>
      <w:r w:rsidR="005903B6" w:rsidRPr="005903B6">
        <w:rPr>
          <w:rFonts w:ascii="Cambria" w:hAnsi="Cambria" w:cstheme="minorHAnsi"/>
          <w:sz w:val="24"/>
          <w:szCs w:val="24"/>
        </w:rPr>
        <w:t>The quality of the faculty’s teaching and clinical care is a determinant of the quality of the program and the quality of the residents’ future clinical care. Therefore, the program has the responsibility to evaluate and improve the program faculty members’ teaching, scholarship, professionalism, and quality care”.</w:t>
      </w:r>
      <w:r w:rsidR="005903B6" w:rsidRPr="005903B6">
        <w:rPr>
          <w:rFonts w:ascii="Cambria" w:hAnsi="Cambria" w:cstheme="minorHAnsi"/>
          <w:sz w:val="24"/>
          <w:szCs w:val="24"/>
          <w:vertAlign w:val="superscript"/>
        </w:rPr>
        <w:t>1</w:t>
      </w:r>
    </w:p>
    <w:p w14:paraId="096267F4" w14:textId="77777777" w:rsidR="005903B6" w:rsidRDefault="005903B6" w:rsidP="005903B6">
      <w:pPr>
        <w:spacing w:after="0"/>
        <w:rPr>
          <w:rFonts w:ascii="Cambria" w:hAnsi="Cambria"/>
        </w:rPr>
      </w:pPr>
    </w:p>
    <w:p w14:paraId="2903C795" w14:textId="4412EF5D" w:rsidR="005903B6" w:rsidRPr="007C1A9B" w:rsidRDefault="005903B6" w:rsidP="005903B6">
      <w:pPr>
        <w:spacing w:after="0"/>
        <w:rPr>
          <w:rFonts w:ascii="Cambria" w:hAnsi="Cambria"/>
          <w:u w:val="single"/>
        </w:rPr>
      </w:pPr>
      <w:r w:rsidRPr="00E35FCC">
        <w:rPr>
          <w:rFonts w:ascii="Cambria" w:hAnsi="Cambria" w:cstheme="minorHAnsi"/>
          <w:i/>
          <w:iCs/>
          <w:color w:val="2F5496" w:themeColor="accent1" w:themeShade="BF"/>
          <w:sz w:val="24"/>
          <w:szCs w:val="24"/>
        </w:rPr>
        <w:t>Framework for evaluation of faculty in a residency program</w:t>
      </w:r>
    </w:p>
    <w:p w14:paraId="110C5ED2" w14:textId="294FDBDC" w:rsidR="005903B6" w:rsidRDefault="005903B6" w:rsidP="005903B6">
      <w:pPr>
        <w:pStyle w:val="ListParagraph"/>
        <w:numPr>
          <w:ilvl w:val="0"/>
          <w:numId w:val="5"/>
        </w:numPr>
        <w:rPr>
          <w:rFonts w:ascii="Cambria" w:hAnsi="Cambria" w:cstheme="minorHAnsi"/>
        </w:rPr>
      </w:pPr>
      <w:r w:rsidRPr="005903B6">
        <w:rPr>
          <w:rFonts w:ascii="Cambria" w:hAnsi="Cambria" w:cstheme="minorHAnsi"/>
        </w:rPr>
        <w:t>Review ACGME program requirements regarding faculty evaluations</w:t>
      </w:r>
      <w:r>
        <w:rPr>
          <w:rFonts w:ascii="Cambria" w:hAnsi="Cambria" w:cstheme="minorHAnsi"/>
        </w:rPr>
        <w:t>:</w:t>
      </w:r>
      <w:r w:rsidRPr="005903B6">
        <w:rPr>
          <w:rFonts w:ascii="Cambria" w:hAnsi="Cambria" w:cstheme="minorHAnsi"/>
        </w:rPr>
        <w:t xml:space="preserve"> </w:t>
      </w:r>
    </w:p>
    <w:p w14:paraId="7B9760B2" w14:textId="77777777" w:rsidR="005903B6" w:rsidRPr="005903B6" w:rsidRDefault="005903B6" w:rsidP="005903B6">
      <w:pPr>
        <w:pStyle w:val="ListParagraph"/>
        <w:rPr>
          <w:rFonts w:ascii="Cambria" w:hAnsi="Cambria" w:cstheme="minorHAnsi"/>
        </w:rPr>
      </w:pPr>
    </w:p>
    <w:p w14:paraId="229E60E7" w14:textId="77777777" w:rsidR="005903B6" w:rsidRDefault="005903B6" w:rsidP="005903B6">
      <w:pPr>
        <w:pStyle w:val="Default"/>
        <w:ind w:left="1440"/>
        <w:rPr>
          <w:rFonts w:ascii="Cambria" w:hAnsi="Cambria" w:cstheme="minorHAnsi"/>
        </w:rPr>
      </w:pPr>
      <w:r w:rsidRPr="005903B6">
        <w:rPr>
          <w:rFonts w:ascii="Cambria" w:hAnsi="Cambria" w:cstheme="minorHAnsi"/>
        </w:rPr>
        <w:t>V.B.1: The program must have a process to evaluate each faculty member’s performance as it relates to the educational program at least annually.</w:t>
      </w:r>
    </w:p>
    <w:p w14:paraId="0FF4F900" w14:textId="77777777" w:rsidR="005903B6" w:rsidRPr="005903B6" w:rsidRDefault="005903B6" w:rsidP="005903B6">
      <w:pPr>
        <w:pStyle w:val="Default"/>
        <w:ind w:left="1440"/>
        <w:rPr>
          <w:rFonts w:ascii="Cambria" w:hAnsi="Cambria" w:cstheme="minorHAnsi"/>
        </w:rPr>
      </w:pPr>
    </w:p>
    <w:p w14:paraId="30F843C1" w14:textId="77777777" w:rsidR="005903B6" w:rsidRDefault="005903B6" w:rsidP="005903B6">
      <w:pPr>
        <w:pStyle w:val="Default"/>
        <w:ind w:left="1440"/>
        <w:rPr>
          <w:rFonts w:ascii="Cambria" w:hAnsi="Cambria"/>
          <w:b/>
          <w:bCs/>
          <w:sz w:val="22"/>
          <w:szCs w:val="22"/>
        </w:rPr>
      </w:pPr>
      <w:r w:rsidRPr="005903B6">
        <w:rPr>
          <w:rFonts w:ascii="Cambria" w:hAnsi="Cambria" w:cstheme="minorHAnsi"/>
        </w:rPr>
        <w:t>V.B.1.a): Faculty evaluation must include a review of the faculty member’s clinical teaching abilities, engagement with the educational program, participation in faculty development related to their skills as an educator, clinical performance, professionalism, and scholarly activities</w:t>
      </w:r>
      <w:r w:rsidRPr="005903B6">
        <w:rPr>
          <w:rFonts w:ascii="Cambria" w:hAnsi="Cambria"/>
          <w:b/>
          <w:bCs/>
          <w:sz w:val="22"/>
          <w:szCs w:val="22"/>
        </w:rPr>
        <w:t xml:space="preserve"> </w:t>
      </w:r>
    </w:p>
    <w:p w14:paraId="475B7816" w14:textId="77777777" w:rsidR="005903B6" w:rsidRPr="005903B6" w:rsidRDefault="005903B6" w:rsidP="005903B6">
      <w:pPr>
        <w:pStyle w:val="Default"/>
        <w:ind w:left="1440"/>
        <w:rPr>
          <w:rFonts w:ascii="Cambria" w:hAnsi="Cambria" w:cstheme="minorHAnsi"/>
        </w:rPr>
      </w:pPr>
    </w:p>
    <w:p w14:paraId="3F4C01AE" w14:textId="77777777" w:rsidR="005903B6" w:rsidRPr="005903B6" w:rsidRDefault="005903B6" w:rsidP="005903B6">
      <w:pPr>
        <w:pStyle w:val="Default"/>
        <w:numPr>
          <w:ilvl w:val="0"/>
          <w:numId w:val="5"/>
        </w:numPr>
        <w:rPr>
          <w:rFonts w:ascii="Cambria" w:hAnsi="Cambria" w:cstheme="minorHAnsi"/>
        </w:rPr>
      </w:pPr>
      <w:r w:rsidRPr="005903B6">
        <w:rPr>
          <w:rFonts w:ascii="Cambria" w:hAnsi="Cambria" w:cstheme="minorHAnsi"/>
        </w:rPr>
        <w:t>Review process for residents to evaluate faculty</w:t>
      </w:r>
      <w:r w:rsidRPr="005903B6">
        <w:rPr>
          <w:rFonts w:ascii="Cambria" w:hAnsi="Cambria" w:cstheme="minorHAnsi"/>
          <w:vertAlign w:val="superscript"/>
        </w:rPr>
        <w:t>1</w:t>
      </w:r>
      <w:r w:rsidRPr="005903B6">
        <w:rPr>
          <w:rFonts w:ascii="Cambria" w:hAnsi="Cambria" w:cstheme="minorHAnsi"/>
        </w:rPr>
        <w:t>:</w:t>
      </w:r>
    </w:p>
    <w:p w14:paraId="61E93D63"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Faculty members who interact with residents must be evaluated (education, clinical, research)</w:t>
      </w:r>
    </w:p>
    <w:p w14:paraId="4BE4DC40"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Must have a confidential process and anonymous manner for trainees to evaluate a faculty members’ educational efforts</w:t>
      </w:r>
    </w:p>
    <w:p w14:paraId="25E26290" w14:textId="77777777" w:rsidR="005903B6" w:rsidRPr="005903B6" w:rsidRDefault="005903B6" w:rsidP="005903B6">
      <w:pPr>
        <w:pStyle w:val="NormalWeb"/>
        <w:numPr>
          <w:ilvl w:val="1"/>
          <w:numId w:val="5"/>
        </w:numPr>
        <w:rPr>
          <w:rFonts w:ascii="Cambria" w:hAnsi="Cambria" w:cstheme="minorHAnsi"/>
        </w:rPr>
      </w:pPr>
      <w:r w:rsidRPr="005903B6">
        <w:rPr>
          <w:rFonts w:ascii="Cambria" w:hAnsi="Cambria" w:cstheme="minorHAnsi"/>
        </w:rPr>
        <w:t>Other aspects for the feedback may include research or clinical productivity, review of patient outcomes, or peer review of scholarly activity</w:t>
      </w:r>
    </w:p>
    <w:p w14:paraId="78EBE395"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 xml:space="preserve">Feedback from the various sources described above should be summarized and provided to the faculty on an annual basis by a member of the leadership team of the program. </w:t>
      </w:r>
    </w:p>
    <w:p w14:paraId="0C86D0F4"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Faculty must receive feedback at least annually</w:t>
      </w:r>
    </w:p>
    <w:p w14:paraId="2B0AE3DA"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Results of the faculty educational evaluations should be incorporated into program-wide faculty development plans</w:t>
      </w:r>
    </w:p>
    <w:p w14:paraId="5BD3F969" w14:textId="77777777" w:rsidR="005903B6" w:rsidRPr="005903B6" w:rsidRDefault="005903B6" w:rsidP="005903B6">
      <w:pPr>
        <w:pStyle w:val="Default"/>
        <w:numPr>
          <w:ilvl w:val="0"/>
          <w:numId w:val="5"/>
        </w:numPr>
        <w:rPr>
          <w:rFonts w:ascii="Cambria" w:hAnsi="Cambria" w:cstheme="minorHAnsi"/>
        </w:rPr>
      </w:pPr>
      <w:r w:rsidRPr="005903B6">
        <w:rPr>
          <w:rFonts w:ascii="Cambria" w:hAnsi="Cambria" w:cstheme="minorHAnsi"/>
        </w:rPr>
        <w:t>Framework for setting up compliance of evaluations</w:t>
      </w:r>
    </w:p>
    <w:p w14:paraId="6E141B77"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Must have a system in place for ensuring it is done anonymously (MedHub, New Innovations, etc)</w:t>
      </w:r>
    </w:p>
    <w:p w14:paraId="146E9AC5"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All faculty should be oriented to the process by the institution/program</w:t>
      </w:r>
    </w:p>
    <w:p w14:paraId="723438AD" w14:textId="77777777" w:rsidR="005903B6" w:rsidRPr="005903B6" w:rsidRDefault="005903B6" w:rsidP="005903B6">
      <w:pPr>
        <w:pStyle w:val="Default"/>
        <w:numPr>
          <w:ilvl w:val="0"/>
          <w:numId w:val="5"/>
        </w:numPr>
        <w:rPr>
          <w:rFonts w:ascii="Cambria" w:hAnsi="Cambria" w:cstheme="minorHAnsi"/>
        </w:rPr>
      </w:pPr>
      <w:r w:rsidRPr="005903B6">
        <w:rPr>
          <w:rFonts w:ascii="Cambria" w:hAnsi="Cambria" w:cstheme="minorHAnsi"/>
        </w:rPr>
        <w:lastRenderedPageBreak/>
        <w:t xml:space="preserve">ACGME mandates annual review of the program’s faculty members for this purpose and can be used as input into the Annual Program Evaluation. </w:t>
      </w:r>
    </w:p>
    <w:p w14:paraId="586F3F21" w14:textId="77777777" w:rsidR="005903B6" w:rsidRPr="005903B6" w:rsidRDefault="005903B6" w:rsidP="005903B6">
      <w:pPr>
        <w:pStyle w:val="ListParagraph"/>
        <w:numPr>
          <w:ilvl w:val="0"/>
          <w:numId w:val="5"/>
        </w:numPr>
        <w:autoSpaceDE w:val="0"/>
        <w:autoSpaceDN w:val="0"/>
        <w:adjustRightInd w:val="0"/>
        <w:rPr>
          <w:rFonts w:ascii="Cambria" w:hAnsi="Cambria" w:cstheme="minorHAnsi"/>
          <w:color w:val="000000"/>
          <w:kern w:val="0"/>
        </w:rPr>
      </w:pPr>
      <w:r w:rsidRPr="005903B6">
        <w:rPr>
          <w:rFonts w:ascii="Cambria" w:hAnsi="Cambria" w:cstheme="minorHAnsi"/>
          <w:color w:val="000000"/>
          <w:kern w:val="0"/>
        </w:rPr>
        <w:t xml:space="preserve">The residency program director may need to work with others to determine the effectiveness of the program’s faculty performance regarding their role in the educational program. </w:t>
      </w:r>
    </w:p>
    <w:p w14:paraId="3ED5BF9D" w14:textId="77777777" w:rsidR="005903B6" w:rsidRPr="005903B6" w:rsidRDefault="005903B6" w:rsidP="005903B6">
      <w:pPr>
        <w:pStyle w:val="Default"/>
        <w:numPr>
          <w:ilvl w:val="0"/>
          <w:numId w:val="5"/>
        </w:numPr>
        <w:rPr>
          <w:rFonts w:ascii="Cambria" w:hAnsi="Cambria" w:cstheme="minorHAnsi"/>
        </w:rPr>
      </w:pPr>
      <w:r w:rsidRPr="005903B6">
        <w:rPr>
          <w:rFonts w:ascii="Cambria" w:hAnsi="Cambria" w:cstheme="minorHAnsi"/>
        </w:rPr>
        <w:t>Resident education on importance of completing evaluations of faculty is essential and important for program evaluation</w:t>
      </w:r>
    </w:p>
    <w:p w14:paraId="2924AFB8" w14:textId="77777777" w:rsidR="005903B6" w:rsidRPr="005903B6" w:rsidRDefault="005903B6" w:rsidP="005903B6">
      <w:pPr>
        <w:pStyle w:val="Default"/>
        <w:numPr>
          <w:ilvl w:val="1"/>
          <w:numId w:val="5"/>
        </w:numPr>
        <w:rPr>
          <w:rFonts w:ascii="Cambria" w:hAnsi="Cambria" w:cstheme="minorHAnsi"/>
        </w:rPr>
      </w:pPr>
      <w:r w:rsidRPr="005903B6">
        <w:rPr>
          <w:rFonts w:ascii="Cambria" w:hAnsi="Cambria" w:cstheme="minorHAnsi"/>
        </w:rPr>
        <w:t>Must have education on gender parity and be free of bias; objective</w:t>
      </w:r>
      <w:r w:rsidRPr="005903B6">
        <w:rPr>
          <w:rFonts w:ascii="Cambria" w:hAnsi="Cambria" w:cstheme="minorHAnsi"/>
          <w:vertAlign w:val="superscript"/>
        </w:rPr>
        <w:t>2</w:t>
      </w:r>
      <w:r w:rsidRPr="005903B6">
        <w:rPr>
          <w:rFonts w:ascii="Cambria" w:hAnsi="Cambria" w:cstheme="minorHAnsi"/>
        </w:rPr>
        <w:t xml:space="preserve"> [see reference]</w:t>
      </w:r>
    </w:p>
    <w:p w14:paraId="7F75FCD5" w14:textId="2A432C1A" w:rsidR="005903B6" w:rsidRPr="00E35FCC" w:rsidRDefault="00683404" w:rsidP="005903B6">
      <w:pPr>
        <w:pStyle w:val="Default"/>
        <w:numPr>
          <w:ilvl w:val="0"/>
          <w:numId w:val="5"/>
        </w:numPr>
        <w:rPr>
          <w:rFonts w:ascii="Cambria" w:hAnsi="Cambria" w:cstheme="minorHAnsi"/>
        </w:rPr>
      </w:pPr>
      <w:r>
        <w:rPr>
          <w:rFonts w:ascii="Cambria" w:hAnsi="Cambria" w:cstheme="minorHAnsi"/>
        </w:rPr>
        <w:t>Example of a Faculty Evaluation Form in “Resources”</w:t>
      </w:r>
    </w:p>
    <w:p w14:paraId="5C814D2E" w14:textId="2606650E" w:rsidR="005903B6" w:rsidRDefault="005903B6" w:rsidP="005903B6">
      <w:pPr>
        <w:spacing w:after="0"/>
        <w:jc w:val="center"/>
        <w:rPr>
          <w:rFonts w:ascii="Cambria" w:hAnsi="Cambria"/>
        </w:rPr>
      </w:pPr>
      <w:r>
        <w:rPr>
          <w:rFonts w:ascii="Cambria" w:hAnsi="Cambria"/>
        </w:rPr>
        <w:t>_________</w:t>
      </w:r>
    </w:p>
    <w:p w14:paraId="7E471EEE" w14:textId="77777777" w:rsidR="005903B6" w:rsidRDefault="005903B6" w:rsidP="005903B6">
      <w:pPr>
        <w:pStyle w:val="ListParagraph"/>
        <w:ind w:left="810"/>
        <w:rPr>
          <w:rFonts w:ascii="Cambria" w:hAnsi="Cambria"/>
          <w:color w:val="0070C0"/>
          <w:sz w:val="28"/>
          <w:szCs w:val="28"/>
        </w:rPr>
      </w:pPr>
    </w:p>
    <w:p w14:paraId="7419AFFE" w14:textId="184F4CB1" w:rsidR="00BA72F2" w:rsidRDefault="00B061C7" w:rsidP="003F661E">
      <w:pPr>
        <w:spacing w:after="0"/>
        <w:rPr>
          <w:rFonts w:ascii="Cambria" w:hAnsi="Cambria" w:cstheme="minorHAnsi"/>
          <w:sz w:val="24"/>
          <w:szCs w:val="24"/>
        </w:rPr>
      </w:pPr>
      <w:r w:rsidRPr="00E35FCC">
        <w:rPr>
          <w:rFonts w:ascii="Cambria" w:hAnsi="Cambria"/>
          <w:color w:val="0070C0"/>
          <w:sz w:val="28"/>
          <w:szCs w:val="28"/>
        </w:rPr>
        <w:t>Faculty Development</w:t>
      </w:r>
    </w:p>
    <w:p w14:paraId="1A12FCCC" w14:textId="6B04AB11" w:rsidR="0058094D" w:rsidRPr="00FB28C7" w:rsidRDefault="0020367F" w:rsidP="003F661E">
      <w:pPr>
        <w:spacing w:after="0"/>
        <w:rPr>
          <w:rFonts w:ascii="Cambria" w:hAnsi="Cambria" w:cstheme="minorHAnsi"/>
          <w:sz w:val="24"/>
          <w:szCs w:val="24"/>
        </w:rPr>
      </w:pPr>
      <w:r w:rsidRPr="00FB28C7">
        <w:rPr>
          <w:rFonts w:ascii="Cambria" w:hAnsi="Cambria" w:cstheme="minorHAnsi"/>
          <w:sz w:val="24"/>
          <w:szCs w:val="24"/>
        </w:rPr>
        <w:t>Per ACGME Common Program Requirement</w:t>
      </w:r>
      <w:r w:rsidR="003F661E" w:rsidRPr="00FB28C7">
        <w:rPr>
          <w:rFonts w:ascii="Cambria" w:hAnsi="Cambria" w:cstheme="minorHAnsi"/>
          <w:sz w:val="24"/>
          <w:szCs w:val="24"/>
        </w:rPr>
        <w:t xml:space="preserve"> II.B.2.f</w:t>
      </w:r>
      <w:r w:rsidR="00FD7907" w:rsidRPr="00E35FCC">
        <w:rPr>
          <w:rFonts w:ascii="Cambria" w:hAnsi="Cambria" w:cstheme="minorHAnsi"/>
          <w:sz w:val="24"/>
          <w:szCs w:val="24"/>
          <w:vertAlign w:val="superscript"/>
        </w:rPr>
        <w:t>4</w:t>
      </w:r>
      <w:r w:rsidR="004A604F">
        <w:rPr>
          <w:rFonts w:ascii="Cambria" w:hAnsi="Cambria" w:cstheme="minorHAnsi"/>
          <w:sz w:val="24"/>
          <w:szCs w:val="24"/>
        </w:rPr>
        <w:t>:</w:t>
      </w:r>
      <w:r w:rsidR="003F661E" w:rsidRPr="00FB28C7">
        <w:rPr>
          <w:rFonts w:ascii="Cambria" w:hAnsi="Cambria" w:cstheme="minorHAnsi"/>
          <w:sz w:val="24"/>
          <w:szCs w:val="24"/>
        </w:rPr>
        <w:t xml:space="preserve"> “F</w:t>
      </w:r>
      <w:r w:rsidRPr="00FB28C7">
        <w:rPr>
          <w:rFonts w:ascii="Cambria" w:hAnsi="Cambria" w:cstheme="minorHAnsi"/>
          <w:sz w:val="24"/>
          <w:szCs w:val="24"/>
        </w:rPr>
        <w:t>aculty</w:t>
      </w:r>
      <w:r w:rsidR="003F661E" w:rsidRPr="00FB28C7">
        <w:rPr>
          <w:rFonts w:ascii="Cambria" w:hAnsi="Cambria" w:cstheme="minorHAnsi"/>
          <w:sz w:val="24"/>
          <w:szCs w:val="24"/>
        </w:rPr>
        <w:t xml:space="preserve"> members</w:t>
      </w:r>
      <w:r w:rsidRPr="00FB28C7">
        <w:rPr>
          <w:rFonts w:ascii="Cambria" w:hAnsi="Cambria" w:cstheme="minorHAnsi"/>
          <w:sz w:val="24"/>
          <w:szCs w:val="24"/>
        </w:rPr>
        <w:t xml:space="preserve"> must pursue </w:t>
      </w:r>
      <w:r w:rsidR="003F661E" w:rsidRPr="00FB28C7">
        <w:rPr>
          <w:rFonts w:ascii="Cambria" w:hAnsi="Cambria" w:cstheme="minorHAnsi"/>
          <w:sz w:val="24"/>
          <w:szCs w:val="24"/>
        </w:rPr>
        <w:t>faculty development designed to enhance their skills at least annually. Faculty development is intended to describe structured programming developed for the purpose of enhancing transference of knowledge, skill, and behavior from the educator to the learner. Faculty development may occur in a variety of configurations (lecture, workshop, etc.) using internal and/or external resources. Programming is typically needs-based (individual or group) and may be specific to the institution or the program. Faculty development programming is to be reported for the residency program faculty in the aggregate.”</w:t>
      </w:r>
    </w:p>
    <w:p w14:paraId="18BD37E4" w14:textId="77777777" w:rsidR="003F661E" w:rsidRPr="00FB28C7" w:rsidRDefault="003F661E" w:rsidP="003F661E">
      <w:pPr>
        <w:spacing w:after="0"/>
        <w:rPr>
          <w:rFonts w:ascii="Cambria" w:hAnsi="Cambria" w:cstheme="minorHAnsi"/>
          <w:sz w:val="24"/>
          <w:szCs w:val="24"/>
        </w:rPr>
      </w:pPr>
    </w:p>
    <w:p w14:paraId="60CB0C8B" w14:textId="45B1945A" w:rsidR="0020517A" w:rsidRPr="00FB28C7" w:rsidRDefault="003F661E" w:rsidP="003F661E">
      <w:pPr>
        <w:spacing w:after="0"/>
        <w:rPr>
          <w:rFonts w:ascii="Cambria" w:hAnsi="Cambria" w:cstheme="minorHAnsi"/>
          <w:sz w:val="24"/>
          <w:szCs w:val="24"/>
        </w:rPr>
      </w:pPr>
      <w:r w:rsidRPr="00FB28C7">
        <w:rPr>
          <w:rFonts w:ascii="Cambria" w:hAnsi="Cambria" w:cstheme="minorHAnsi"/>
          <w:sz w:val="24"/>
          <w:szCs w:val="24"/>
        </w:rPr>
        <w:t>Faculty development may occur at the program, department, or institutional level</w:t>
      </w:r>
      <w:r w:rsidR="00830B0B" w:rsidRPr="00FB28C7">
        <w:rPr>
          <w:rFonts w:ascii="Cambria" w:hAnsi="Cambria" w:cstheme="minorHAnsi"/>
          <w:sz w:val="24"/>
          <w:szCs w:val="24"/>
        </w:rPr>
        <w:t>, but not all faculty may be aware of the opportunities or of the ACGME annual requirement. Program directors should communicate</w:t>
      </w:r>
      <w:r w:rsidR="00AB6B6A" w:rsidRPr="00FB28C7">
        <w:rPr>
          <w:rFonts w:ascii="Cambria" w:hAnsi="Cambria" w:cstheme="minorHAnsi"/>
          <w:sz w:val="24"/>
          <w:szCs w:val="24"/>
        </w:rPr>
        <w:t xml:space="preserve"> </w:t>
      </w:r>
      <w:r w:rsidR="00A449B9" w:rsidRPr="00FB28C7">
        <w:rPr>
          <w:rFonts w:ascii="Cambria" w:hAnsi="Cambria" w:cstheme="minorHAnsi"/>
          <w:sz w:val="24"/>
          <w:szCs w:val="24"/>
        </w:rPr>
        <w:t>with</w:t>
      </w:r>
      <w:r w:rsidR="00AB6B6A" w:rsidRPr="00FB28C7">
        <w:rPr>
          <w:rFonts w:ascii="Cambria" w:hAnsi="Cambria" w:cstheme="minorHAnsi"/>
          <w:sz w:val="24"/>
          <w:szCs w:val="24"/>
        </w:rPr>
        <w:t xml:space="preserve"> their colleagues about</w:t>
      </w:r>
      <w:r w:rsidR="00830B0B" w:rsidRPr="00FB28C7">
        <w:rPr>
          <w:rFonts w:ascii="Cambria" w:hAnsi="Cambria" w:cstheme="minorHAnsi"/>
          <w:sz w:val="24"/>
          <w:szCs w:val="24"/>
        </w:rPr>
        <w:t xml:space="preserve"> </w:t>
      </w:r>
      <w:r w:rsidR="0020517A" w:rsidRPr="00FB28C7">
        <w:rPr>
          <w:rFonts w:ascii="Cambria" w:hAnsi="Cambria" w:cstheme="minorHAnsi"/>
          <w:sz w:val="24"/>
          <w:szCs w:val="24"/>
        </w:rPr>
        <w:t xml:space="preserve">existing faculty development opportunities and, if necessary, coordinate with their department chair to offer </w:t>
      </w:r>
      <w:r w:rsidR="00EB19BE" w:rsidRPr="00FB28C7">
        <w:rPr>
          <w:rFonts w:ascii="Cambria" w:hAnsi="Cambria" w:cstheme="minorHAnsi"/>
          <w:sz w:val="24"/>
          <w:szCs w:val="24"/>
        </w:rPr>
        <w:t xml:space="preserve">additional </w:t>
      </w:r>
      <w:r w:rsidR="0020517A" w:rsidRPr="00FB28C7">
        <w:rPr>
          <w:rFonts w:ascii="Cambria" w:hAnsi="Cambria" w:cstheme="minorHAnsi"/>
          <w:sz w:val="24"/>
          <w:szCs w:val="24"/>
        </w:rPr>
        <w:t>relevant faculty development opportunities.</w:t>
      </w:r>
      <w:r w:rsidR="00832385" w:rsidRPr="00FB28C7">
        <w:rPr>
          <w:rFonts w:ascii="Cambria" w:hAnsi="Cambria" w:cstheme="minorHAnsi"/>
          <w:sz w:val="24"/>
          <w:szCs w:val="24"/>
        </w:rPr>
        <w:t xml:space="preserve"> Faculty development topics relevant to graduate medical education include giving feedback, formal evaluation of learners, writing letters of recommendation, bedside teaching,</w:t>
      </w:r>
      <w:r w:rsidR="009E5B25" w:rsidRPr="00FB28C7">
        <w:rPr>
          <w:rFonts w:ascii="Cambria" w:hAnsi="Cambria" w:cstheme="minorHAnsi"/>
          <w:sz w:val="24"/>
          <w:szCs w:val="24"/>
        </w:rPr>
        <w:t xml:space="preserve"> incorporation of technology,</w:t>
      </w:r>
      <w:r w:rsidR="00832385" w:rsidRPr="00FB28C7">
        <w:rPr>
          <w:rFonts w:ascii="Cambria" w:hAnsi="Cambria" w:cstheme="minorHAnsi"/>
          <w:sz w:val="24"/>
          <w:szCs w:val="24"/>
        </w:rPr>
        <w:t xml:space="preserve"> and creating effective teaching materials.</w:t>
      </w:r>
    </w:p>
    <w:p w14:paraId="6C97142F" w14:textId="77777777" w:rsidR="00BA72F2" w:rsidRPr="00FB28C7" w:rsidRDefault="00BA72F2" w:rsidP="00350EEB">
      <w:pPr>
        <w:spacing w:after="0"/>
        <w:rPr>
          <w:rFonts w:ascii="Cambria" w:hAnsi="Cambria"/>
          <w:color w:val="0070C0"/>
          <w:sz w:val="32"/>
          <w:szCs w:val="32"/>
        </w:rPr>
      </w:pPr>
    </w:p>
    <w:p w14:paraId="6B5DB82C" w14:textId="77777777" w:rsidR="00EB7A4B" w:rsidRPr="008B2865" w:rsidRDefault="00EB7A4B" w:rsidP="00DC4460">
      <w:pPr>
        <w:spacing w:after="0"/>
        <w:rPr>
          <w:rFonts w:cstheme="minorHAnsi"/>
          <w:u w:val="single"/>
        </w:rPr>
      </w:pPr>
    </w:p>
    <w:p w14:paraId="1446F7FE" w14:textId="7B5A813E" w:rsidR="008E59B9" w:rsidRPr="008B2865" w:rsidRDefault="00B061C7" w:rsidP="00DC4460">
      <w:pPr>
        <w:spacing w:after="0"/>
        <w:rPr>
          <w:rFonts w:cstheme="minorHAnsi"/>
          <w:u w:val="single"/>
        </w:rPr>
      </w:pPr>
      <w:r>
        <w:rPr>
          <w:rFonts w:ascii="Cambria" w:hAnsi="Cambria"/>
          <w:color w:val="0070C0"/>
          <w:sz w:val="28"/>
          <w:szCs w:val="28"/>
        </w:rPr>
        <w:t>Struggling Faculty</w:t>
      </w:r>
    </w:p>
    <w:p w14:paraId="51CF1C69" w14:textId="62A75B22" w:rsidR="006E154C" w:rsidRPr="00FB28C7" w:rsidRDefault="008E59B9" w:rsidP="00DC4460">
      <w:pPr>
        <w:spacing w:after="0"/>
        <w:rPr>
          <w:rFonts w:ascii="Cambria" w:hAnsi="Cambria" w:cstheme="minorHAnsi"/>
          <w:sz w:val="24"/>
          <w:szCs w:val="24"/>
        </w:rPr>
      </w:pPr>
      <w:r w:rsidRPr="00FB28C7">
        <w:rPr>
          <w:rFonts w:ascii="Cambria" w:hAnsi="Cambria" w:cstheme="minorHAnsi"/>
          <w:sz w:val="24"/>
          <w:szCs w:val="24"/>
        </w:rPr>
        <w:t>ACGME Common Program Requirement II.B.1 lists the following obligations of faculty involved in graduate medical education</w:t>
      </w:r>
      <w:r w:rsidR="00FD7907" w:rsidRPr="00E35FCC">
        <w:rPr>
          <w:rFonts w:ascii="Cambria" w:hAnsi="Cambria" w:cstheme="minorHAnsi"/>
          <w:sz w:val="24"/>
          <w:szCs w:val="24"/>
          <w:vertAlign w:val="superscript"/>
        </w:rPr>
        <w:t>1</w:t>
      </w:r>
      <w:r w:rsidR="004A604F">
        <w:rPr>
          <w:rFonts w:ascii="Cambria" w:hAnsi="Cambria" w:cstheme="minorHAnsi"/>
          <w:sz w:val="24"/>
          <w:szCs w:val="24"/>
        </w:rPr>
        <w:t>:</w:t>
      </w:r>
      <w:r w:rsidR="00F21A91" w:rsidRPr="00FB28C7">
        <w:rPr>
          <w:rFonts w:ascii="Cambria" w:hAnsi="Cambria" w:cstheme="minorHAnsi"/>
          <w:sz w:val="24"/>
          <w:szCs w:val="24"/>
        </w:rPr>
        <w:t xml:space="preserve"> </w:t>
      </w:r>
    </w:p>
    <w:p w14:paraId="308A8787" w14:textId="66761196" w:rsidR="008E59B9" w:rsidRPr="00FB28C7" w:rsidRDefault="00256277" w:rsidP="00DC4460">
      <w:pPr>
        <w:spacing w:after="0"/>
        <w:rPr>
          <w:rFonts w:ascii="Cambria" w:hAnsi="Cambria" w:cstheme="minorHAnsi"/>
          <w:sz w:val="24"/>
          <w:szCs w:val="24"/>
        </w:rPr>
      </w:pPr>
      <w:r w:rsidRPr="00FB28C7">
        <w:rPr>
          <w:rFonts w:ascii="Cambria" w:hAnsi="Cambria" w:cstheme="minorHAnsi"/>
          <w:sz w:val="24"/>
          <w:szCs w:val="24"/>
        </w:rPr>
        <w:t>“</w:t>
      </w:r>
      <w:r w:rsidR="008E59B9" w:rsidRPr="00FB28C7">
        <w:rPr>
          <w:rFonts w:ascii="Cambria" w:hAnsi="Cambria" w:cstheme="minorHAnsi"/>
          <w:sz w:val="24"/>
          <w:szCs w:val="24"/>
        </w:rPr>
        <w:t xml:space="preserve">Faculty members must be role models of professionalism; demonstrate commitment to the delivery of safe, equitable, high-quality, cost-effective, patient-centered care; demonstrate a strong interest in the education of residents, including devoting sufficient time to the educational program to fulfill their supervisory and teaching responsibilities; administer and maintain an educational environment conducive to educating residents; regularly participate in organized clinical discussions, rounds, journal clubs, and </w:t>
      </w:r>
      <w:r w:rsidR="008E59B9" w:rsidRPr="00FB28C7">
        <w:rPr>
          <w:rFonts w:ascii="Cambria" w:hAnsi="Cambria" w:cstheme="minorHAnsi"/>
          <w:sz w:val="24"/>
          <w:szCs w:val="24"/>
        </w:rPr>
        <w:lastRenderedPageBreak/>
        <w:t>conferences; and pursue faculty development designed to enhance their skills at least annually.</w:t>
      </w:r>
      <w:r w:rsidRPr="00FB28C7">
        <w:rPr>
          <w:rFonts w:ascii="Cambria" w:hAnsi="Cambria" w:cstheme="minorHAnsi"/>
          <w:sz w:val="24"/>
          <w:szCs w:val="24"/>
        </w:rPr>
        <w:t>”</w:t>
      </w:r>
    </w:p>
    <w:p w14:paraId="7BD4EBC0" w14:textId="77777777" w:rsidR="0058094D" w:rsidRPr="00FB28C7" w:rsidRDefault="0058094D" w:rsidP="00DC4460">
      <w:pPr>
        <w:spacing w:after="0"/>
        <w:rPr>
          <w:rFonts w:ascii="Cambria" w:hAnsi="Cambria" w:cstheme="minorHAnsi"/>
          <w:sz w:val="24"/>
          <w:szCs w:val="24"/>
          <w:u w:val="single"/>
        </w:rPr>
      </w:pPr>
    </w:p>
    <w:p w14:paraId="5679C137" w14:textId="496021A2" w:rsidR="002468F8" w:rsidRPr="00FB28C7" w:rsidRDefault="002468F8" w:rsidP="00DC4460">
      <w:pPr>
        <w:spacing w:after="0"/>
        <w:rPr>
          <w:rFonts w:ascii="Cambria" w:hAnsi="Cambria" w:cstheme="minorHAnsi"/>
          <w:sz w:val="24"/>
          <w:szCs w:val="24"/>
        </w:rPr>
      </w:pPr>
      <w:r w:rsidRPr="00FB28C7">
        <w:rPr>
          <w:rFonts w:ascii="Cambria" w:hAnsi="Cambria" w:cstheme="minorHAnsi"/>
          <w:sz w:val="24"/>
          <w:szCs w:val="24"/>
        </w:rPr>
        <w:t>Common Program Requirement II.A.4.a).(4)</w:t>
      </w:r>
      <w:r w:rsidR="006B1C39" w:rsidRPr="00FB28C7">
        <w:rPr>
          <w:rFonts w:ascii="Cambria" w:hAnsi="Cambria" w:cstheme="minorHAnsi"/>
          <w:sz w:val="24"/>
          <w:szCs w:val="24"/>
        </w:rPr>
        <w:t xml:space="preserve"> states </w:t>
      </w:r>
      <w:r w:rsidR="00DB49B6" w:rsidRPr="00FB28C7">
        <w:rPr>
          <w:rFonts w:ascii="Cambria" w:hAnsi="Cambria" w:cstheme="minorHAnsi"/>
          <w:sz w:val="24"/>
          <w:szCs w:val="24"/>
        </w:rPr>
        <w:t>“</w:t>
      </w:r>
      <w:r w:rsidR="006B1C39" w:rsidRPr="00FB28C7">
        <w:rPr>
          <w:rFonts w:ascii="Cambria" w:hAnsi="Cambria" w:cstheme="minorHAnsi"/>
          <w:sz w:val="24"/>
          <w:szCs w:val="24"/>
        </w:rPr>
        <w:t>program directors have the authority to approve or remove physicians and non-physicians as faculty members at all participating sites, including the designation of core faculty members, and must develop and oversee a process to evaluate candidates prior to approval</w:t>
      </w:r>
      <w:r w:rsidR="009E5C93" w:rsidRPr="00FB28C7">
        <w:rPr>
          <w:rFonts w:ascii="Cambria" w:hAnsi="Cambria" w:cstheme="minorHAnsi"/>
          <w:sz w:val="24"/>
          <w:szCs w:val="24"/>
        </w:rPr>
        <w:t>.</w:t>
      </w:r>
      <w:r w:rsidR="00DB49B6" w:rsidRPr="00FB28C7">
        <w:rPr>
          <w:rFonts w:ascii="Cambria" w:hAnsi="Cambria" w:cstheme="minorHAnsi"/>
          <w:sz w:val="24"/>
          <w:szCs w:val="24"/>
        </w:rPr>
        <w:t>”</w:t>
      </w:r>
    </w:p>
    <w:p w14:paraId="44D5EE6D" w14:textId="77777777" w:rsidR="002468F8" w:rsidRPr="00FB28C7" w:rsidRDefault="002468F8" w:rsidP="00DC4460">
      <w:pPr>
        <w:spacing w:after="0"/>
        <w:rPr>
          <w:rFonts w:ascii="Cambria" w:hAnsi="Cambria" w:cstheme="minorHAnsi"/>
          <w:sz w:val="24"/>
          <w:szCs w:val="24"/>
          <w:u w:val="single"/>
        </w:rPr>
      </w:pPr>
    </w:p>
    <w:p w14:paraId="161B5E11" w14:textId="35F37F6D" w:rsidR="008E59B9" w:rsidRPr="00E35FCC" w:rsidRDefault="002468F8" w:rsidP="00E35FCC">
      <w:pPr>
        <w:pStyle w:val="ListParagraph"/>
        <w:numPr>
          <w:ilvl w:val="0"/>
          <w:numId w:val="9"/>
        </w:numPr>
        <w:rPr>
          <w:rFonts w:ascii="Cambria" w:hAnsi="Cambria" w:cstheme="minorHAnsi"/>
        </w:rPr>
      </w:pPr>
      <w:r w:rsidRPr="00E35FCC">
        <w:rPr>
          <w:rFonts w:ascii="Cambria" w:hAnsi="Cambria" w:cstheme="minorHAnsi"/>
        </w:rPr>
        <w:t xml:space="preserve">Occasionally, a faculty member </w:t>
      </w:r>
      <w:r w:rsidR="009E5C93" w:rsidRPr="00E35FCC">
        <w:rPr>
          <w:rFonts w:ascii="Cambria" w:hAnsi="Cambria" w:cstheme="minorHAnsi"/>
        </w:rPr>
        <w:t>will struggle with an aspect of their role in graduate medical education</w:t>
      </w:r>
      <w:r w:rsidR="00EB7D2D" w:rsidRPr="00E35FCC">
        <w:rPr>
          <w:rFonts w:ascii="Cambria" w:hAnsi="Cambria" w:cstheme="minorHAnsi"/>
        </w:rPr>
        <w:t xml:space="preserve">. This </w:t>
      </w:r>
      <w:r w:rsidR="00AC04E8" w:rsidRPr="00E35FCC">
        <w:rPr>
          <w:rFonts w:ascii="Cambria" w:hAnsi="Cambria" w:cstheme="minorHAnsi"/>
        </w:rPr>
        <w:t>includes</w:t>
      </w:r>
      <w:r w:rsidR="00EB7D2D" w:rsidRPr="00E35FCC">
        <w:rPr>
          <w:rFonts w:ascii="Cambria" w:hAnsi="Cambria" w:cstheme="minorHAnsi"/>
        </w:rPr>
        <w:t xml:space="preserve"> </w:t>
      </w:r>
      <w:r w:rsidR="001A52F5" w:rsidRPr="00E35FCC">
        <w:rPr>
          <w:rFonts w:ascii="Cambria" w:hAnsi="Cambria" w:cstheme="minorHAnsi"/>
        </w:rPr>
        <w:t>issues involving</w:t>
      </w:r>
      <w:r w:rsidR="00EB7D2D" w:rsidRPr="00E35FCC">
        <w:rPr>
          <w:rFonts w:ascii="Cambria" w:hAnsi="Cambria" w:cstheme="minorHAnsi"/>
        </w:rPr>
        <w:t xml:space="preserve"> professionalism, bias, </w:t>
      </w:r>
      <w:r w:rsidR="00AF3FB5" w:rsidRPr="00E35FCC">
        <w:rPr>
          <w:rFonts w:ascii="Cambria" w:hAnsi="Cambria" w:cstheme="minorHAnsi"/>
        </w:rPr>
        <w:t xml:space="preserve">burnout, or </w:t>
      </w:r>
      <w:r w:rsidR="00EB7D2D" w:rsidRPr="00E35FCC">
        <w:rPr>
          <w:rFonts w:ascii="Cambria" w:hAnsi="Cambria" w:cstheme="minorHAnsi"/>
        </w:rPr>
        <w:t>impairment</w:t>
      </w:r>
      <w:r w:rsidR="009E5C93" w:rsidRPr="00E35FCC">
        <w:rPr>
          <w:rFonts w:ascii="Cambria" w:hAnsi="Cambria" w:cstheme="minorHAnsi"/>
        </w:rPr>
        <w:t xml:space="preserve">. </w:t>
      </w:r>
      <w:r w:rsidR="008E59B9" w:rsidRPr="00E35FCC">
        <w:rPr>
          <w:rFonts w:ascii="Cambria" w:hAnsi="Cambria" w:cstheme="minorHAnsi"/>
        </w:rPr>
        <w:t>The program director</w:t>
      </w:r>
      <w:r w:rsidR="00EB7D2D" w:rsidRPr="00E35FCC">
        <w:rPr>
          <w:rFonts w:ascii="Cambria" w:hAnsi="Cambria" w:cstheme="minorHAnsi"/>
        </w:rPr>
        <w:t xml:space="preserve"> and</w:t>
      </w:r>
      <w:r w:rsidR="008E59B9" w:rsidRPr="00E35FCC">
        <w:rPr>
          <w:rFonts w:ascii="Cambria" w:hAnsi="Cambria" w:cstheme="minorHAnsi"/>
        </w:rPr>
        <w:t xml:space="preserve"> department chair</w:t>
      </w:r>
      <w:r w:rsidR="00EB7D2D" w:rsidRPr="00E35FCC">
        <w:rPr>
          <w:rFonts w:ascii="Cambria" w:hAnsi="Cambria" w:cstheme="minorHAnsi"/>
        </w:rPr>
        <w:t xml:space="preserve"> are</w:t>
      </w:r>
      <w:r w:rsidR="008E59B9" w:rsidRPr="00E35FCC">
        <w:rPr>
          <w:rFonts w:ascii="Cambria" w:hAnsi="Cambria" w:cstheme="minorHAnsi"/>
        </w:rPr>
        <w:t xml:space="preserve"> responsible for identifying struggling faculty, addressing those concerns, and offering feedback and resources.</w:t>
      </w:r>
      <w:r w:rsidR="009D492B" w:rsidRPr="00E35FCC">
        <w:rPr>
          <w:rFonts w:ascii="Cambria" w:hAnsi="Cambria" w:cstheme="minorHAnsi"/>
        </w:rPr>
        <w:t xml:space="preserve"> </w:t>
      </w:r>
    </w:p>
    <w:p w14:paraId="714C45B6" w14:textId="36DF2C7C" w:rsidR="008E59B9" w:rsidRDefault="008E59B9" w:rsidP="00DC4460">
      <w:pPr>
        <w:spacing w:after="0"/>
        <w:rPr>
          <w:rFonts w:cstheme="minorHAnsi"/>
          <w:u w:val="single"/>
        </w:rPr>
      </w:pPr>
    </w:p>
    <w:p w14:paraId="78D65658" w14:textId="77777777" w:rsidR="00350EEB" w:rsidRPr="005903B6" w:rsidRDefault="00350EEB" w:rsidP="00350EEB">
      <w:pPr>
        <w:spacing w:after="0"/>
        <w:rPr>
          <w:rFonts w:ascii="Cambria" w:hAnsi="Cambria"/>
          <w:color w:val="0070C0"/>
          <w:sz w:val="28"/>
          <w:szCs w:val="28"/>
          <w:lang w:val="fr-FR"/>
        </w:rPr>
      </w:pPr>
      <w:r w:rsidRPr="005903B6">
        <w:rPr>
          <w:rFonts w:ascii="Cambria" w:hAnsi="Cambria"/>
          <w:color w:val="0070C0"/>
          <w:sz w:val="28"/>
          <w:szCs w:val="28"/>
          <w:lang w:val="fr-FR"/>
        </w:rPr>
        <w:t>Resources</w:t>
      </w:r>
    </w:p>
    <w:p w14:paraId="417953BC" w14:textId="650733A7" w:rsidR="00BA72F2" w:rsidRPr="00BA72F2" w:rsidRDefault="00BA72F2" w:rsidP="00E35FCC">
      <w:pPr>
        <w:rPr>
          <w:rFonts w:cstheme="minorHAnsi"/>
        </w:rPr>
      </w:pPr>
      <w:hyperlink r:id="rId5" w:history="1">
        <w:r w:rsidRPr="00E35FCC">
          <w:rPr>
            <w:rStyle w:val="Hyperlink"/>
            <w:rFonts w:cstheme="minorHAnsi"/>
          </w:rPr>
          <w:t>ACGME Program Requirements for Graduate Medical Education in Pediatrics</w:t>
        </w:r>
      </w:hyperlink>
      <w:r w:rsidRPr="00BA72F2">
        <w:rPr>
          <w:rFonts w:cstheme="minorHAnsi"/>
        </w:rPr>
        <w:t>, 2022</w:t>
      </w:r>
    </w:p>
    <w:p w14:paraId="507D995D" w14:textId="77777777" w:rsidR="00BA72F2" w:rsidRPr="00BA72F2" w:rsidRDefault="00BA72F2" w:rsidP="00BA72F2">
      <w:pPr>
        <w:rPr>
          <w:rFonts w:cstheme="minorHAnsi"/>
        </w:rPr>
      </w:pPr>
      <w:hyperlink r:id="rId6" w:history="1">
        <w:r w:rsidRPr="00BA72F2">
          <w:rPr>
            <w:rStyle w:val="Hyperlink"/>
            <w:rFonts w:cstheme="minorHAnsi"/>
          </w:rPr>
          <w:t>ACGME Common Program Requirements</w:t>
        </w:r>
      </w:hyperlink>
      <w:r w:rsidRPr="00BA72F2">
        <w:rPr>
          <w:rFonts w:cstheme="minorHAnsi"/>
        </w:rPr>
        <w:t xml:space="preserve"> 2023 </w:t>
      </w:r>
    </w:p>
    <w:p w14:paraId="7869B8C0" w14:textId="77777777" w:rsidR="00BA72F2" w:rsidRPr="00BA72F2" w:rsidRDefault="00BA72F2" w:rsidP="00E35FCC">
      <w:pPr>
        <w:rPr>
          <w:rFonts w:cstheme="minorHAnsi"/>
        </w:rPr>
      </w:pPr>
      <w:r w:rsidRPr="00BA72F2">
        <w:rPr>
          <w:rFonts w:cstheme="minorHAnsi"/>
          <w:color w:val="1A1A1A"/>
          <w:shd w:val="clear" w:color="auto" w:fill="FFFFFF"/>
        </w:rPr>
        <w:t>Rebekah S. Shaw</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Katrina L. Foo</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Alexandra Blumer</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Emily L. Jacobson</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Julie Sturza</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Sarah Hartley</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Jennifer R. Lukela</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Virginia Sheffield</w:t>
      </w:r>
      <w:r w:rsidRPr="00E35FCC">
        <w:rPr>
          <w:rStyle w:val="al-author-delim"/>
          <w:rFonts w:cstheme="minorHAnsi"/>
          <w:color w:val="1A1A1A"/>
          <w:bdr w:val="none" w:sz="0" w:space="0" w:color="auto" w:frame="1"/>
        </w:rPr>
        <w:t>,</w:t>
      </w:r>
      <w:r w:rsidRPr="00E35FCC">
        <w:rPr>
          <w:rStyle w:val="apple-converted-space"/>
          <w:rFonts w:cstheme="minorHAnsi"/>
          <w:color w:val="1A1A1A"/>
          <w:bdr w:val="none" w:sz="0" w:space="0" w:color="auto" w:frame="1"/>
        </w:rPr>
        <w:t> </w:t>
      </w:r>
      <w:r w:rsidRPr="00BA72F2">
        <w:rPr>
          <w:rFonts w:cstheme="minorHAnsi"/>
          <w:color w:val="1A1A1A"/>
          <w:shd w:val="clear" w:color="auto" w:fill="FFFFFF"/>
        </w:rPr>
        <w:t>Leah Rappaport; Gender Disparity in Teaching Evaluations of Pediatric Faculty by Residents.</w:t>
      </w:r>
      <w:r w:rsidRPr="00E35FCC">
        <w:rPr>
          <w:rStyle w:val="apple-converted-space"/>
          <w:rFonts w:cstheme="minorHAnsi"/>
          <w:color w:val="1A1A1A"/>
          <w:shd w:val="clear" w:color="auto" w:fill="FFFFFF"/>
        </w:rPr>
        <w:t> </w:t>
      </w:r>
      <w:r w:rsidRPr="00E35FCC">
        <w:rPr>
          <w:rStyle w:val="Emphasis"/>
          <w:rFonts w:cstheme="minorHAnsi"/>
          <w:color w:val="1A1A1A"/>
          <w:bdr w:val="none" w:sz="0" w:space="0" w:color="auto" w:frame="1"/>
        </w:rPr>
        <w:t>Hosp Pediatr</w:t>
      </w:r>
      <w:r w:rsidRPr="00E35FCC">
        <w:rPr>
          <w:rStyle w:val="apple-converted-space"/>
          <w:rFonts w:cstheme="minorHAnsi"/>
          <w:color w:val="1A1A1A"/>
          <w:shd w:val="clear" w:color="auto" w:fill="FFFFFF"/>
        </w:rPr>
        <w:t> </w:t>
      </w:r>
      <w:r w:rsidRPr="00BA72F2">
        <w:rPr>
          <w:rFonts w:cstheme="minorHAnsi"/>
          <w:color w:val="1A1A1A"/>
          <w:shd w:val="clear" w:color="auto" w:fill="FFFFFF"/>
        </w:rPr>
        <w:t>December 2023; 13 (12): 1067–1076.</w:t>
      </w:r>
      <w:r w:rsidRPr="00E35FCC">
        <w:rPr>
          <w:rStyle w:val="apple-converted-space"/>
          <w:rFonts w:cstheme="minorHAnsi"/>
          <w:color w:val="1A1A1A"/>
          <w:shd w:val="clear" w:color="auto" w:fill="FFFFFF"/>
        </w:rPr>
        <w:t> </w:t>
      </w:r>
      <w:hyperlink r:id="rId7" w:tgtFrame="_blank" w:history="1">
        <w:r w:rsidRPr="00E35FCC">
          <w:rPr>
            <w:rStyle w:val="Hyperlink"/>
            <w:rFonts w:cstheme="minorHAnsi"/>
            <w:color w:val="304FFE"/>
            <w:bdr w:val="none" w:sz="0" w:space="0" w:color="auto" w:frame="1"/>
          </w:rPr>
          <w:t>https://doi.org/10.1542/hpeds.2023-007228</w:t>
        </w:r>
      </w:hyperlink>
    </w:p>
    <w:p w14:paraId="1AA30A59" w14:textId="6F7DB4FA" w:rsidR="00BA72F2" w:rsidRPr="00E35FCC" w:rsidRDefault="00844A18" w:rsidP="00BA72F2">
      <w:pPr>
        <w:spacing w:after="0"/>
        <w:rPr>
          <w:rFonts w:ascii="Cambria" w:hAnsi="Cambria" w:cstheme="minorHAnsi"/>
          <w:i/>
          <w:iCs/>
          <w:color w:val="2F5496" w:themeColor="accent1" w:themeShade="BF"/>
          <w:sz w:val="24"/>
          <w:szCs w:val="24"/>
        </w:rPr>
      </w:pPr>
      <w:r w:rsidRPr="00E35FCC">
        <w:rPr>
          <w:rFonts w:ascii="Cambria" w:hAnsi="Cambria" w:cstheme="minorHAnsi"/>
          <w:i/>
          <w:iCs/>
          <w:color w:val="2F5496" w:themeColor="accent1" w:themeShade="BF"/>
          <w:sz w:val="24"/>
          <w:szCs w:val="24"/>
        </w:rPr>
        <w:t>F</w:t>
      </w:r>
      <w:r w:rsidR="00BA72F2" w:rsidRPr="00E35FCC">
        <w:rPr>
          <w:rFonts w:ascii="Cambria" w:hAnsi="Cambria" w:cstheme="minorHAnsi"/>
          <w:i/>
          <w:iCs/>
          <w:color w:val="2F5496" w:themeColor="accent1" w:themeShade="BF"/>
          <w:sz w:val="24"/>
          <w:szCs w:val="24"/>
        </w:rPr>
        <w:t>aculty development</w:t>
      </w:r>
    </w:p>
    <w:p w14:paraId="7BD0A73C" w14:textId="77777777" w:rsidR="00BA72F2" w:rsidRPr="00E35FCC" w:rsidRDefault="00BA72F2" w:rsidP="00BA72F2">
      <w:pPr>
        <w:pStyle w:val="ListParagraph"/>
        <w:numPr>
          <w:ilvl w:val="0"/>
          <w:numId w:val="7"/>
        </w:numPr>
        <w:ind w:left="360"/>
        <w:rPr>
          <w:rFonts w:cstheme="minorHAnsi"/>
          <w:sz w:val="22"/>
          <w:szCs w:val="22"/>
        </w:rPr>
      </w:pPr>
      <w:r w:rsidRPr="00E35FCC">
        <w:rPr>
          <w:rFonts w:cstheme="minorHAnsi"/>
          <w:sz w:val="22"/>
          <w:szCs w:val="22"/>
        </w:rPr>
        <w:t>Mueller AS et al. Peer Coaching as a Faculty Development Tool: A Mixed Methods Evaluation (</w:t>
      </w:r>
      <w:hyperlink r:id="rId8" w:history="1">
        <w:r w:rsidRPr="00E35FCC">
          <w:rPr>
            <w:rStyle w:val="Hyperlink"/>
            <w:rFonts w:cstheme="minorHAnsi"/>
            <w:sz w:val="22"/>
            <w:szCs w:val="22"/>
          </w:rPr>
          <w:t>http://dx.doi.org/10.4300/JGME-D-19-00250.1</w:t>
        </w:r>
      </w:hyperlink>
      <w:r w:rsidRPr="00E35FCC">
        <w:rPr>
          <w:rFonts w:cstheme="minorHAnsi"/>
          <w:sz w:val="22"/>
          <w:szCs w:val="22"/>
        </w:rPr>
        <w:t xml:space="preserve">) </w:t>
      </w:r>
    </w:p>
    <w:p w14:paraId="0EAC9DC3" w14:textId="77777777" w:rsidR="00BA72F2" w:rsidRPr="00E35FCC" w:rsidRDefault="00BA72F2" w:rsidP="00BA72F2">
      <w:pPr>
        <w:pStyle w:val="ListParagraph"/>
        <w:numPr>
          <w:ilvl w:val="0"/>
          <w:numId w:val="7"/>
        </w:numPr>
        <w:ind w:left="360"/>
        <w:rPr>
          <w:rFonts w:cstheme="minorHAnsi"/>
          <w:sz w:val="22"/>
          <w:szCs w:val="22"/>
        </w:rPr>
      </w:pPr>
      <w:r w:rsidRPr="00E35FCC">
        <w:rPr>
          <w:rFonts w:cstheme="minorHAnsi"/>
          <w:sz w:val="22"/>
          <w:szCs w:val="22"/>
        </w:rPr>
        <w:t>Virant-Young DL et al. Practice Makes Better: Effective Faculty Educator Skill Development in the Virtual Space (</w:t>
      </w:r>
      <w:hyperlink r:id="rId9" w:history="1">
        <w:r w:rsidRPr="00E35FCC">
          <w:rPr>
            <w:rStyle w:val="Hyperlink"/>
            <w:rFonts w:cstheme="minorHAnsi"/>
            <w:sz w:val="22"/>
            <w:szCs w:val="22"/>
          </w:rPr>
          <w:t>http://dx.doi.org/10.4300/JGME-D-21-00212.1</w:t>
        </w:r>
      </w:hyperlink>
      <w:r w:rsidRPr="00E35FCC">
        <w:rPr>
          <w:rFonts w:cstheme="minorHAnsi"/>
          <w:sz w:val="22"/>
          <w:szCs w:val="22"/>
        </w:rPr>
        <w:t xml:space="preserve"> )</w:t>
      </w:r>
    </w:p>
    <w:p w14:paraId="0F2D0A26" w14:textId="77777777" w:rsidR="00BA72F2" w:rsidRPr="00E35FCC" w:rsidRDefault="00BA72F2" w:rsidP="00BA72F2">
      <w:pPr>
        <w:pStyle w:val="ListParagraph"/>
        <w:numPr>
          <w:ilvl w:val="0"/>
          <w:numId w:val="7"/>
        </w:numPr>
        <w:ind w:left="360"/>
        <w:rPr>
          <w:rFonts w:cstheme="minorHAnsi"/>
          <w:sz w:val="22"/>
          <w:szCs w:val="22"/>
        </w:rPr>
      </w:pPr>
      <w:r w:rsidRPr="00E35FCC">
        <w:rPr>
          <w:rFonts w:cstheme="minorHAnsi"/>
          <w:sz w:val="22"/>
          <w:szCs w:val="22"/>
        </w:rPr>
        <w:t>Yilmaz Y et al. Technology-Enhanced Faculty Development: Future Trends and Possibilities for Health Sciences Education (</w:t>
      </w:r>
      <w:hyperlink r:id="rId10" w:history="1">
        <w:r w:rsidRPr="00E35FCC">
          <w:rPr>
            <w:rStyle w:val="Hyperlink"/>
            <w:rFonts w:cstheme="minorHAnsi"/>
            <w:sz w:val="22"/>
            <w:szCs w:val="22"/>
          </w:rPr>
          <w:t>https://doi.org/10.1007/s40670-020-01100-1</w:t>
        </w:r>
      </w:hyperlink>
      <w:r w:rsidRPr="00E35FCC">
        <w:rPr>
          <w:rFonts w:cstheme="minorHAnsi"/>
          <w:sz w:val="22"/>
          <w:szCs w:val="22"/>
        </w:rPr>
        <w:t>)</w:t>
      </w:r>
    </w:p>
    <w:p w14:paraId="4E38DDF9" w14:textId="73195B9B" w:rsidR="00BA72F2" w:rsidRDefault="00BA72F2" w:rsidP="00BA72F2">
      <w:pPr>
        <w:pStyle w:val="ListParagraph"/>
        <w:numPr>
          <w:ilvl w:val="0"/>
          <w:numId w:val="7"/>
        </w:numPr>
        <w:ind w:left="360"/>
        <w:rPr>
          <w:rFonts w:cstheme="minorHAnsi"/>
          <w:sz w:val="22"/>
          <w:szCs w:val="22"/>
        </w:rPr>
      </w:pPr>
      <w:r w:rsidRPr="00E35FCC">
        <w:rPr>
          <w:rFonts w:cstheme="minorHAnsi"/>
          <w:sz w:val="22"/>
          <w:szCs w:val="22"/>
        </w:rPr>
        <w:t>ACGME Common Program Requirements 2023 (</w:t>
      </w:r>
      <w:hyperlink r:id="rId11" w:history="1">
        <w:r w:rsidRPr="00E35FCC">
          <w:rPr>
            <w:rStyle w:val="Hyperlink"/>
            <w:rFonts w:cstheme="minorHAnsi"/>
            <w:sz w:val="22"/>
            <w:szCs w:val="22"/>
          </w:rPr>
          <w:t>https://www.acgme.org/globalassets/pfassets/programrequirements/cprresidency_2023.pdf</w:t>
        </w:r>
      </w:hyperlink>
      <w:r w:rsidRPr="00E35FCC">
        <w:rPr>
          <w:rFonts w:cstheme="minorHAnsi"/>
          <w:sz w:val="22"/>
          <w:szCs w:val="22"/>
        </w:rPr>
        <w:t xml:space="preserve"> )</w:t>
      </w:r>
    </w:p>
    <w:p w14:paraId="76E6739C" w14:textId="77777777" w:rsidR="00844A18" w:rsidRDefault="00844A18" w:rsidP="00844A18">
      <w:pPr>
        <w:rPr>
          <w:rFonts w:ascii="Cambria" w:hAnsi="Cambria" w:cstheme="minorHAnsi"/>
          <w:i/>
          <w:iCs/>
          <w:color w:val="2F5496" w:themeColor="accent1" w:themeShade="BF"/>
          <w:sz w:val="24"/>
          <w:szCs w:val="24"/>
        </w:rPr>
      </w:pPr>
    </w:p>
    <w:p w14:paraId="1CA7EF17" w14:textId="6BBE1988" w:rsidR="00844A18" w:rsidRPr="00844A18" w:rsidRDefault="00844A18" w:rsidP="00E35FCC">
      <w:pPr>
        <w:rPr>
          <w:rFonts w:cstheme="minorHAnsi"/>
        </w:rPr>
      </w:pPr>
      <w:r>
        <w:rPr>
          <w:rFonts w:ascii="Cambria" w:hAnsi="Cambria" w:cstheme="minorHAnsi"/>
          <w:i/>
          <w:iCs/>
          <w:color w:val="2F5496" w:themeColor="accent1" w:themeShade="BF"/>
          <w:sz w:val="24"/>
          <w:szCs w:val="24"/>
        </w:rPr>
        <w:t xml:space="preserve">Struggling </w:t>
      </w:r>
      <w:r w:rsidRPr="00056C32">
        <w:rPr>
          <w:rFonts w:ascii="Cambria" w:hAnsi="Cambria" w:cstheme="minorHAnsi"/>
          <w:i/>
          <w:iCs/>
          <w:color w:val="2F5496" w:themeColor="accent1" w:themeShade="BF"/>
          <w:sz w:val="24"/>
          <w:szCs w:val="24"/>
        </w:rPr>
        <w:t>Faculty</w:t>
      </w:r>
    </w:p>
    <w:p w14:paraId="5D05679B" w14:textId="2A523EFE" w:rsidR="00844A18" w:rsidRPr="00E35FCC" w:rsidRDefault="009F6C67" w:rsidP="00E35FCC">
      <w:pPr>
        <w:pStyle w:val="ListParagraph"/>
        <w:numPr>
          <w:ilvl w:val="0"/>
          <w:numId w:val="10"/>
        </w:numPr>
        <w:ind w:left="360"/>
        <w:rPr>
          <w:rFonts w:cstheme="minorHAnsi"/>
          <w:sz w:val="22"/>
          <w:szCs w:val="22"/>
        </w:rPr>
      </w:pPr>
      <w:r w:rsidRPr="00E35FCC">
        <w:rPr>
          <w:rFonts w:cstheme="minorHAnsi"/>
          <w:sz w:val="22"/>
          <w:szCs w:val="22"/>
        </w:rPr>
        <w:t xml:space="preserve">Cherr GS et al. </w:t>
      </w:r>
      <w:r w:rsidR="0049702B" w:rsidRPr="00E35FCC">
        <w:rPr>
          <w:rFonts w:cstheme="minorHAnsi"/>
          <w:sz w:val="22"/>
          <w:szCs w:val="22"/>
        </w:rPr>
        <w:t>Remediation of the Struggling Clinical Educator</w:t>
      </w:r>
      <w:r w:rsidRPr="00E35FCC">
        <w:rPr>
          <w:rFonts w:cstheme="minorHAnsi"/>
          <w:sz w:val="22"/>
          <w:szCs w:val="22"/>
        </w:rPr>
        <w:t xml:space="preserve"> (</w:t>
      </w:r>
      <w:hyperlink r:id="rId12" w:history="1">
        <w:r w:rsidR="00990DEC" w:rsidRPr="00E35FCC">
          <w:rPr>
            <w:rStyle w:val="Hyperlink"/>
            <w:rFonts w:cstheme="minorHAnsi"/>
            <w:sz w:val="22"/>
            <w:szCs w:val="22"/>
          </w:rPr>
          <w:t>http://dx.doi.org/10.4300/JGME-D-18-00262.1</w:t>
        </w:r>
      </w:hyperlink>
      <w:r w:rsidRPr="00E35FCC">
        <w:rPr>
          <w:rFonts w:cstheme="minorHAnsi"/>
          <w:sz w:val="22"/>
          <w:szCs w:val="22"/>
        </w:rPr>
        <w:t>).</w:t>
      </w:r>
    </w:p>
    <w:p w14:paraId="75A03982" w14:textId="3047530B" w:rsidR="00844A18" w:rsidRPr="00E35FCC" w:rsidRDefault="005C7674" w:rsidP="00E35FCC">
      <w:pPr>
        <w:pStyle w:val="ListParagraph"/>
        <w:numPr>
          <w:ilvl w:val="0"/>
          <w:numId w:val="10"/>
        </w:numPr>
        <w:ind w:left="360"/>
        <w:rPr>
          <w:rFonts w:cstheme="minorHAnsi"/>
          <w:sz w:val="22"/>
          <w:szCs w:val="22"/>
        </w:rPr>
      </w:pPr>
      <w:r w:rsidRPr="00E35FCC">
        <w:rPr>
          <w:rFonts w:cstheme="minorHAnsi"/>
          <w:sz w:val="22"/>
          <w:szCs w:val="22"/>
        </w:rPr>
        <w:t>Cull WL et al. Longitudinal Analyses of Pediatrician Burnout (</w:t>
      </w:r>
      <w:hyperlink r:id="rId13" w:history="1">
        <w:r w:rsidR="00AC04E8" w:rsidRPr="00E35FCC">
          <w:rPr>
            <w:rStyle w:val="Hyperlink"/>
            <w:rFonts w:cstheme="minorHAnsi"/>
            <w:sz w:val="22"/>
            <w:szCs w:val="22"/>
          </w:rPr>
          <w:t>http://dx.doi.org/10.1016/j.acap.2018.11.006</w:t>
        </w:r>
      </w:hyperlink>
      <w:r w:rsidRPr="00E35FCC">
        <w:rPr>
          <w:rFonts w:cstheme="minorHAnsi"/>
          <w:sz w:val="22"/>
          <w:szCs w:val="22"/>
        </w:rPr>
        <w:t xml:space="preserve"> )</w:t>
      </w:r>
    </w:p>
    <w:p w14:paraId="6D1DF0FD" w14:textId="3B498C63" w:rsidR="00844A18" w:rsidRPr="00E35FCC" w:rsidRDefault="005464FB" w:rsidP="00E35FCC">
      <w:pPr>
        <w:pStyle w:val="ListParagraph"/>
        <w:numPr>
          <w:ilvl w:val="0"/>
          <w:numId w:val="10"/>
        </w:numPr>
        <w:ind w:left="360"/>
        <w:rPr>
          <w:rFonts w:cstheme="minorHAnsi"/>
          <w:sz w:val="22"/>
          <w:szCs w:val="22"/>
        </w:rPr>
      </w:pPr>
      <w:r w:rsidRPr="00E35FCC">
        <w:rPr>
          <w:rFonts w:cstheme="minorHAnsi"/>
          <w:sz w:val="22"/>
          <w:szCs w:val="22"/>
        </w:rPr>
        <w:t>Haydar B et al. Resident characterization of better-than- and worse-than-average clinical teaching (</w:t>
      </w:r>
      <w:hyperlink r:id="rId14" w:history="1">
        <w:r w:rsidR="00AF3FB5" w:rsidRPr="00E35FCC">
          <w:rPr>
            <w:rStyle w:val="Hyperlink"/>
            <w:rFonts w:cstheme="minorHAnsi"/>
            <w:sz w:val="22"/>
            <w:szCs w:val="22"/>
          </w:rPr>
          <w:t>http://dx.doi.org/10.1097/ALN.0b013e31829b34bd</w:t>
        </w:r>
      </w:hyperlink>
      <w:r w:rsidR="00722FC5" w:rsidRPr="00E35FCC">
        <w:rPr>
          <w:rFonts w:cstheme="minorHAnsi"/>
          <w:sz w:val="22"/>
          <w:szCs w:val="22"/>
        </w:rPr>
        <w:t xml:space="preserve"> </w:t>
      </w:r>
      <w:r w:rsidRPr="00E35FCC">
        <w:rPr>
          <w:rFonts w:cstheme="minorHAnsi"/>
          <w:sz w:val="22"/>
          <w:szCs w:val="22"/>
        </w:rPr>
        <w:t>)</w:t>
      </w:r>
    </w:p>
    <w:p w14:paraId="05CB4026" w14:textId="0F9B7F12" w:rsidR="00844A18" w:rsidRPr="00E35FCC" w:rsidRDefault="00E163C7" w:rsidP="00E35FCC">
      <w:pPr>
        <w:pStyle w:val="ListParagraph"/>
        <w:numPr>
          <w:ilvl w:val="0"/>
          <w:numId w:val="10"/>
        </w:numPr>
        <w:ind w:left="360"/>
        <w:rPr>
          <w:rFonts w:cstheme="minorHAnsi"/>
          <w:sz w:val="22"/>
          <w:szCs w:val="22"/>
        </w:rPr>
      </w:pPr>
      <w:r w:rsidRPr="00E35FCC">
        <w:rPr>
          <w:rFonts w:cstheme="minorHAnsi"/>
          <w:sz w:val="22"/>
          <w:szCs w:val="22"/>
        </w:rPr>
        <w:t>Hess LM et al. "PLEASE Complete Your Evaluations!" Strategies to Engage Faculty in Competency-Based Assessments (</w:t>
      </w:r>
      <w:hyperlink r:id="rId15" w:history="1">
        <w:r w:rsidR="00722FC5" w:rsidRPr="00E35FCC">
          <w:rPr>
            <w:rStyle w:val="Hyperlink"/>
            <w:rFonts w:cstheme="minorHAnsi"/>
            <w:sz w:val="22"/>
            <w:szCs w:val="22"/>
          </w:rPr>
          <w:t>http://dx.doi.org/10.1016/j.acap.2020.07.019</w:t>
        </w:r>
      </w:hyperlink>
      <w:r w:rsidR="00722FC5" w:rsidRPr="00E35FCC">
        <w:rPr>
          <w:rFonts w:cstheme="minorHAnsi"/>
          <w:sz w:val="22"/>
          <w:szCs w:val="22"/>
        </w:rPr>
        <w:t xml:space="preserve"> </w:t>
      </w:r>
      <w:r w:rsidRPr="00E35FCC">
        <w:rPr>
          <w:rFonts w:cstheme="minorHAnsi"/>
          <w:sz w:val="22"/>
          <w:szCs w:val="22"/>
        </w:rPr>
        <w:t xml:space="preserve">) </w:t>
      </w:r>
    </w:p>
    <w:p w14:paraId="1ADB957D" w14:textId="5B66857E" w:rsidR="00844A18" w:rsidRPr="00E35FCC" w:rsidRDefault="00E163C7" w:rsidP="00E35FCC">
      <w:pPr>
        <w:pStyle w:val="ListParagraph"/>
        <w:numPr>
          <w:ilvl w:val="0"/>
          <w:numId w:val="10"/>
        </w:numPr>
        <w:ind w:left="360"/>
        <w:rPr>
          <w:rFonts w:cstheme="minorHAnsi"/>
          <w:sz w:val="22"/>
          <w:szCs w:val="22"/>
        </w:rPr>
      </w:pPr>
      <w:r w:rsidRPr="00E35FCC">
        <w:rPr>
          <w:rFonts w:cstheme="minorHAnsi"/>
          <w:sz w:val="22"/>
          <w:szCs w:val="22"/>
        </w:rPr>
        <w:t>Mueller AS et al. Gender Differences in Attending Physicians' Feedback to Residents: A Qualitative Analysis (</w:t>
      </w:r>
      <w:hyperlink r:id="rId16" w:history="1">
        <w:r w:rsidR="00895BC5" w:rsidRPr="00E35FCC">
          <w:rPr>
            <w:rStyle w:val="Hyperlink"/>
            <w:rFonts w:cstheme="minorHAnsi"/>
            <w:sz w:val="22"/>
            <w:szCs w:val="22"/>
          </w:rPr>
          <w:t>http://dx.doi.org/10.4300/JGME-D-17-00126.1</w:t>
        </w:r>
      </w:hyperlink>
      <w:r w:rsidR="00895BC5" w:rsidRPr="00E35FCC">
        <w:rPr>
          <w:rFonts w:cstheme="minorHAnsi"/>
          <w:sz w:val="22"/>
          <w:szCs w:val="22"/>
        </w:rPr>
        <w:t xml:space="preserve"> </w:t>
      </w:r>
      <w:r w:rsidRPr="00E35FCC">
        <w:rPr>
          <w:rFonts w:cstheme="minorHAnsi"/>
          <w:sz w:val="22"/>
          <w:szCs w:val="22"/>
        </w:rPr>
        <w:t>)</w:t>
      </w:r>
    </w:p>
    <w:p w14:paraId="601C7C08" w14:textId="071C1635" w:rsidR="00844A18" w:rsidRPr="00E35FCC" w:rsidRDefault="005464FB" w:rsidP="00E35FCC">
      <w:pPr>
        <w:pStyle w:val="ListParagraph"/>
        <w:numPr>
          <w:ilvl w:val="0"/>
          <w:numId w:val="10"/>
        </w:numPr>
        <w:ind w:left="360"/>
        <w:rPr>
          <w:rFonts w:cstheme="minorHAnsi"/>
          <w:sz w:val="22"/>
          <w:szCs w:val="22"/>
        </w:rPr>
      </w:pPr>
      <w:r w:rsidRPr="00E35FCC">
        <w:rPr>
          <w:rFonts w:cstheme="minorHAnsi"/>
          <w:sz w:val="22"/>
          <w:szCs w:val="22"/>
        </w:rPr>
        <w:lastRenderedPageBreak/>
        <w:t>Steinert Y. The “problem” learner: Whose problem is it? (</w:t>
      </w:r>
      <w:hyperlink r:id="rId17" w:history="1">
        <w:r w:rsidR="00D92B46" w:rsidRPr="00E35FCC">
          <w:rPr>
            <w:rStyle w:val="Hyperlink"/>
            <w:rFonts w:cstheme="minorHAnsi"/>
            <w:sz w:val="22"/>
            <w:szCs w:val="22"/>
          </w:rPr>
          <w:t>http://dx.doi.org/10.3109/0142159X.2013.774082</w:t>
        </w:r>
      </w:hyperlink>
      <w:r w:rsidR="00D92B46" w:rsidRPr="00E35FCC">
        <w:rPr>
          <w:rFonts w:cstheme="minorHAnsi"/>
          <w:sz w:val="22"/>
          <w:szCs w:val="22"/>
        </w:rPr>
        <w:t xml:space="preserve"> </w:t>
      </w:r>
      <w:r w:rsidRPr="00E35FCC">
        <w:rPr>
          <w:rFonts w:cstheme="minorHAnsi"/>
          <w:sz w:val="22"/>
          <w:szCs w:val="22"/>
        </w:rPr>
        <w:t>)</w:t>
      </w:r>
    </w:p>
    <w:p w14:paraId="72451DF8" w14:textId="46CDEC0F" w:rsidR="00AF3FB5" w:rsidRPr="00E35FCC" w:rsidRDefault="00AF3FB5" w:rsidP="00E35FCC">
      <w:pPr>
        <w:pStyle w:val="ListParagraph"/>
        <w:numPr>
          <w:ilvl w:val="0"/>
          <w:numId w:val="10"/>
        </w:numPr>
        <w:ind w:left="360"/>
        <w:rPr>
          <w:rFonts w:cstheme="minorHAnsi"/>
          <w:sz w:val="22"/>
          <w:szCs w:val="22"/>
        </w:rPr>
      </w:pPr>
      <w:r w:rsidRPr="00E35FCC">
        <w:rPr>
          <w:rFonts w:cstheme="minorHAnsi"/>
          <w:sz w:val="22"/>
          <w:szCs w:val="22"/>
        </w:rPr>
        <w:t>Tawfik DS et al. Organizational factors affecting physician well-being (</w:t>
      </w:r>
      <w:hyperlink r:id="rId18" w:history="1">
        <w:r w:rsidRPr="00E35FCC">
          <w:rPr>
            <w:rStyle w:val="Hyperlink"/>
            <w:rFonts w:cstheme="minorHAnsi"/>
            <w:sz w:val="22"/>
            <w:szCs w:val="22"/>
          </w:rPr>
          <w:t>http://dx.doi.org/10.1007/s40746-019-00147-6</w:t>
        </w:r>
      </w:hyperlink>
      <w:r w:rsidRPr="00E35FCC">
        <w:rPr>
          <w:rFonts w:cstheme="minorHAnsi"/>
          <w:sz w:val="22"/>
          <w:szCs w:val="22"/>
        </w:rPr>
        <w:t>)</w:t>
      </w:r>
    </w:p>
    <w:p w14:paraId="6A8CA5EC" w14:textId="08784F83" w:rsidR="00683404" w:rsidRDefault="00683404" w:rsidP="00683404">
      <w:pPr>
        <w:rPr>
          <w:rFonts w:ascii="Cambria" w:hAnsi="Cambria" w:cstheme="minorHAnsi"/>
        </w:rPr>
      </w:pPr>
    </w:p>
    <w:p w14:paraId="2A688D58" w14:textId="5764A886" w:rsidR="00683404" w:rsidRPr="00E35FCC" w:rsidRDefault="00683404" w:rsidP="00683404">
      <w:pPr>
        <w:rPr>
          <w:rFonts w:ascii="Cambria" w:hAnsi="Cambria" w:cstheme="minorHAnsi"/>
          <w:i/>
          <w:iCs/>
          <w:color w:val="2F5496" w:themeColor="accent1" w:themeShade="BF"/>
          <w:sz w:val="24"/>
          <w:szCs w:val="24"/>
        </w:rPr>
      </w:pPr>
      <w:r w:rsidRPr="00E35FCC">
        <w:rPr>
          <w:rFonts w:ascii="Cambria" w:hAnsi="Cambria" w:cstheme="minorHAnsi"/>
          <w:i/>
          <w:iCs/>
          <w:color w:val="2F5496" w:themeColor="accent1" w:themeShade="BF"/>
          <w:sz w:val="24"/>
          <w:szCs w:val="24"/>
        </w:rPr>
        <w:t>Example Faculty Evaluation Form</w:t>
      </w:r>
    </w:p>
    <w:p w14:paraId="0914506D" w14:textId="0C704AC3" w:rsidR="00683404" w:rsidRDefault="00683404" w:rsidP="00683404">
      <w:pPr>
        <w:rPr>
          <w:rFonts w:ascii="Cambria" w:hAnsi="Cambria" w:cstheme="minorHAnsi"/>
        </w:rPr>
      </w:pPr>
      <w:r w:rsidRPr="00683404">
        <w:rPr>
          <w:rFonts w:ascii="Cambria" w:hAnsi="Cambria" w:cstheme="minorHAnsi"/>
          <w:noProof/>
        </w:rPr>
        <w:drawing>
          <wp:anchor distT="0" distB="0" distL="114300" distR="114300" simplePos="0" relativeHeight="251658240" behindDoc="0" locked="0" layoutInCell="1" allowOverlap="1" wp14:anchorId="5A719B34" wp14:editId="4AF0DBA7">
            <wp:simplePos x="0" y="0"/>
            <wp:positionH relativeFrom="margin">
              <wp:align>right</wp:align>
            </wp:positionH>
            <wp:positionV relativeFrom="paragraph">
              <wp:posOffset>73660</wp:posOffset>
            </wp:positionV>
            <wp:extent cx="5943600" cy="2895600"/>
            <wp:effectExtent l="0" t="0" r="0" b="0"/>
            <wp:wrapNone/>
            <wp:docPr id="1282538423" name="Picture 1" descr="A white paper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8423" name="Picture 1" descr="A white paper with black text and black text&#10;&#10;Description automatically generated"/>
                    <pic:cNvPicPr/>
                  </pic:nvPicPr>
                  <pic:blipFill rotWithShape="1">
                    <a:blip r:embed="rId19">
                      <a:extLst>
                        <a:ext uri="{28A0092B-C50C-407E-A947-70E740481C1C}">
                          <a14:useLocalDpi xmlns:a14="http://schemas.microsoft.com/office/drawing/2010/main" val="0"/>
                        </a:ext>
                      </a:extLst>
                    </a:blip>
                    <a:srcRect b="36063"/>
                    <a:stretch/>
                  </pic:blipFill>
                  <pic:spPr bwMode="auto">
                    <a:xfrm>
                      <a:off x="0" y="0"/>
                      <a:ext cx="5943600" cy="2895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mbria" w:hAnsi="Cambria" w:cstheme="minorHAnsi"/>
        </w:rPr>
        <w:br w:type="page"/>
      </w:r>
    </w:p>
    <w:p w14:paraId="08EEEE9C" w14:textId="7F3FB080" w:rsidR="00683404" w:rsidRDefault="00683404" w:rsidP="00683404">
      <w:pPr>
        <w:rPr>
          <w:noProof/>
        </w:rPr>
      </w:pPr>
      <w:r w:rsidRPr="00683404">
        <w:rPr>
          <w:rFonts w:ascii="Cambria" w:hAnsi="Cambria" w:cstheme="minorHAnsi"/>
          <w:noProof/>
        </w:rPr>
        <w:lastRenderedPageBreak/>
        <w:drawing>
          <wp:anchor distT="0" distB="0" distL="114300" distR="114300" simplePos="0" relativeHeight="251659264" behindDoc="0" locked="0" layoutInCell="1" allowOverlap="1" wp14:anchorId="5711A246" wp14:editId="00FAC742">
            <wp:simplePos x="0" y="0"/>
            <wp:positionH relativeFrom="margin">
              <wp:posOffset>7620</wp:posOffset>
            </wp:positionH>
            <wp:positionV relativeFrom="paragraph">
              <wp:posOffset>4396740</wp:posOffset>
            </wp:positionV>
            <wp:extent cx="5943600" cy="3825240"/>
            <wp:effectExtent l="0" t="0" r="0" b="3810"/>
            <wp:wrapNone/>
            <wp:docPr id="111025201"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5201" name="Picture 1" descr="A screenshot of a survey&#10;&#10;Description automatically generated"/>
                    <pic:cNvPicPr/>
                  </pic:nvPicPr>
                  <pic:blipFill rotWithShape="1">
                    <a:blip r:embed="rId20">
                      <a:extLst>
                        <a:ext uri="{28A0092B-C50C-407E-A947-70E740481C1C}">
                          <a14:useLocalDpi xmlns:a14="http://schemas.microsoft.com/office/drawing/2010/main" val="0"/>
                        </a:ext>
                      </a:extLst>
                    </a:blip>
                    <a:srcRect t="665" b="15760"/>
                    <a:stretch/>
                  </pic:blipFill>
                  <pic:spPr bwMode="auto">
                    <a:xfrm>
                      <a:off x="0" y="0"/>
                      <a:ext cx="5943600" cy="38252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83404">
        <w:rPr>
          <w:rFonts w:ascii="Cambria" w:hAnsi="Cambria" w:cstheme="minorHAnsi"/>
          <w:noProof/>
        </w:rPr>
        <w:drawing>
          <wp:inline distT="0" distB="0" distL="0" distR="0" wp14:anchorId="42D17693" wp14:editId="3F3E2F26">
            <wp:extent cx="5943600" cy="4424045"/>
            <wp:effectExtent l="0" t="0" r="0" b="0"/>
            <wp:docPr id="1444523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2319" name="Picture 1" descr="A screenshot of a computer&#10;&#10;Description automatically generated"/>
                    <pic:cNvPicPr/>
                  </pic:nvPicPr>
                  <pic:blipFill>
                    <a:blip r:embed="rId21"/>
                    <a:stretch>
                      <a:fillRect/>
                    </a:stretch>
                  </pic:blipFill>
                  <pic:spPr>
                    <a:xfrm>
                      <a:off x="0" y="0"/>
                      <a:ext cx="5943600" cy="4424045"/>
                    </a:xfrm>
                    <a:prstGeom prst="rect">
                      <a:avLst/>
                    </a:prstGeom>
                  </pic:spPr>
                </pic:pic>
              </a:graphicData>
            </a:graphic>
          </wp:inline>
        </w:drawing>
      </w:r>
      <w:r w:rsidRPr="00683404">
        <w:rPr>
          <w:noProof/>
        </w:rPr>
        <w:t xml:space="preserve"> </w:t>
      </w:r>
    </w:p>
    <w:p w14:paraId="49632AD7" w14:textId="77777777" w:rsidR="00683404" w:rsidRDefault="00683404">
      <w:pPr>
        <w:rPr>
          <w:noProof/>
        </w:rPr>
      </w:pPr>
      <w:r>
        <w:rPr>
          <w:noProof/>
        </w:rPr>
        <w:br w:type="page"/>
      </w:r>
    </w:p>
    <w:p w14:paraId="4AC83FAD" w14:textId="4FDD1A30" w:rsidR="00683404" w:rsidRDefault="00683404" w:rsidP="00683404">
      <w:pPr>
        <w:rPr>
          <w:noProof/>
        </w:rPr>
      </w:pPr>
      <w:r w:rsidRPr="00683404">
        <w:rPr>
          <w:rFonts w:ascii="Cambria" w:hAnsi="Cambria" w:cstheme="minorHAnsi"/>
          <w:noProof/>
        </w:rPr>
        <w:lastRenderedPageBreak/>
        <w:drawing>
          <wp:anchor distT="0" distB="0" distL="114300" distR="114300" simplePos="0" relativeHeight="251660288" behindDoc="0" locked="0" layoutInCell="1" allowOverlap="1" wp14:anchorId="1E24F964" wp14:editId="552F248C">
            <wp:simplePos x="0" y="0"/>
            <wp:positionH relativeFrom="margin">
              <wp:align>right</wp:align>
            </wp:positionH>
            <wp:positionV relativeFrom="paragraph">
              <wp:posOffset>3497580</wp:posOffset>
            </wp:positionV>
            <wp:extent cx="5943600" cy="4640580"/>
            <wp:effectExtent l="0" t="0" r="0" b="7620"/>
            <wp:wrapNone/>
            <wp:docPr id="1386170571"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70571" name="Picture 1" descr="A screenshot of a survey&#10;&#10;Description automatically generated"/>
                    <pic:cNvPicPr/>
                  </pic:nvPicPr>
                  <pic:blipFill rotWithShape="1">
                    <a:blip r:embed="rId22">
                      <a:extLst>
                        <a:ext uri="{28A0092B-C50C-407E-A947-70E740481C1C}">
                          <a14:useLocalDpi xmlns:a14="http://schemas.microsoft.com/office/drawing/2010/main" val="0"/>
                        </a:ext>
                      </a:extLst>
                    </a:blip>
                    <a:srcRect b="11278"/>
                    <a:stretch/>
                  </pic:blipFill>
                  <pic:spPr bwMode="auto">
                    <a:xfrm>
                      <a:off x="0" y="0"/>
                      <a:ext cx="5943600" cy="46405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83404">
        <w:rPr>
          <w:rFonts w:ascii="Cambria" w:hAnsi="Cambria" w:cstheme="minorHAnsi"/>
          <w:noProof/>
        </w:rPr>
        <w:drawing>
          <wp:inline distT="0" distB="0" distL="0" distR="0" wp14:anchorId="1DC42A78" wp14:editId="5E993F59">
            <wp:extent cx="5943600" cy="3453765"/>
            <wp:effectExtent l="0" t="0" r="0" b="0"/>
            <wp:docPr id="685057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5713" name="Picture 1" descr="A screenshot of a computer&#10;&#10;Description automatically generated"/>
                    <pic:cNvPicPr/>
                  </pic:nvPicPr>
                  <pic:blipFill>
                    <a:blip r:embed="rId23"/>
                    <a:stretch>
                      <a:fillRect/>
                    </a:stretch>
                  </pic:blipFill>
                  <pic:spPr>
                    <a:xfrm>
                      <a:off x="0" y="0"/>
                      <a:ext cx="5943600" cy="3453765"/>
                    </a:xfrm>
                    <a:prstGeom prst="rect">
                      <a:avLst/>
                    </a:prstGeom>
                  </pic:spPr>
                </pic:pic>
              </a:graphicData>
            </a:graphic>
          </wp:inline>
        </w:drawing>
      </w:r>
      <w:r w:rsidRPr="00683404">
        <w:rPr>
          <w:noProof/>
        </w:rPr>
        <w:t xml:space="preserve"> </w:t>
      </w:r>
    </w:p>
    <w:p w14:paraId="70428358" w14:textId="77777777" w:rsidR="00683404" w:rsidRDefault="00683404">
      <w:pPr>
        <w:rPr>
          <w:noProof/>
        </w:rPr>
      </w:pPr>
      <w:r>
        <w:rPr>
          <w:noProof/>
        </w:rPr>
        <w:br w:type="page"/>
      </w:r>
    </w:p>
    <w:p w14:paraId="55343B8B" w14:textId="5BC721A7" w:rsidR="00683404" w:rsidRPr="00E35FCC" w:rsidRDefault="00683404" w:rsidP="00E35FCC">
      <w:pPr>
        <w:rPr>
          <w:rFonts w:ascii="Cambria" w:hAnsi="Cambria" w:cstheme="minorHAnsi"/>
        </w:rPr>
      </w:pPr>
      <w:r w:rsidRPr="00683404">
        <w:rPr>
          <w:rFonts w:ascii="Cambria" w:hAnsi="Cambria" w:cstheme="minorHAnsi"/>
          <w:noProof/>
        </w:rPr>
        <w:lastRenderedPageBreak/>
        <w:drawing>
          <wp:anchor distT="0" distB="0" distL="114300" distR="114300" simplePos="0" relativeHeight="251661312" behindDoc="0" locked="0" layoutInCell="1" allowOverlap="1" wp14:anchorId="7D010396" wp14:editId="609675D8">
            <wp:simplePos x="0" y="0"/>
            <wp:positionH relativeFrom="column">
              <wp:posOffset>0</wp:posOffset>
            </wp:positionH>
            <wp:positionV relativeFrom="paragraph">
              <wp:posOffset>2887980</wp:posOffset>
            </wp:positionV>
            <wp:extent cx="5943600" cy="1288415"/>
            <wp:effectExtent l="0" t="0" r="0" b="6985"/>
            <wp:wrapNone/>
            <wp:docPr id="1340908646"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08646" name="Picture 1" descr="A white rectangular object with a black border&#10;&#10;Description automatically generated"/>
                    <pic:cNvPicPr/>
                  </pic:nvPicPr>
                  <pic:blipFill rotWithShape="1">
                    <a:blip r:embed="rId24">
                      <a:extLst>
                        <a:ext uri="{28A0092B-C50C-407E-A947-70E740481C1C}">
                          <a14:useLocalDpi xmlns:a14="http://schemas.microsoft.com/office/drawing/2010/main" val="0"/>
                        </a:ext>
                      </a:extLst>
                    </a:blip>
                    <a:srcRect t="3427" b="1"/>
                    <a:stretch/>
                  </pic:blipFill>
                  <pic:spPr bwMode="auto">
                    <a:xfrm>
                      <a:off x="0" y="0"/>
                      <a:ext cx="5943600" cy="12884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83404">
        <w:rPr>
          <w:rFonts w:ascii="Cambria" w:hAnsi="Cambria" w:cstheme="minorHAnsi"/>
          <w:noProof/>
        </w:rPr>
        <w:drawing>
          <wp:inline distT="0" distB="0" distL="0" distR="0" wp14:anchorId="60D998FB" wp14:editId="5B62E7BB">
            <wp:extent cx="5943600" cy="2877185"/>
            <wp:effectExtent l="0" t="0" r="0" b="0"/>
            <wp:docPr id="13505485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48510" name="Picture 1" descr="A screenshot of a computer&#10;&#10;Description automatically generated"/>
                    <pic:cNvPicPr/>
                  </pic:nvPicPr>
                  <pic:blipFill>
                    <a:blip r:embed="rId25"/>
                    <a:stretch>
                      <a:fillRect/>
                    </a:stretch>
                  </pic:blipFill>
                  <pic:spPr>
                    <a:xfrm>
                      <a:off x="0" y="0"/>
                      <a:ext cx="5943600" cy="2877185"/>
                    </a:xfrm>
                    <a:prstGeom prst="rect">
                      <a:avLst/>
                    </a:prstGeom>
                  </pic:spPr>
                </pic:pic>
              </a:graphicData>
            </a:graphic>
          </wp:inline>
        </w:drawing>
      </w:r>
      <w:r w:rsidRPr="00683404">
        <w:rPr>
          <w:noProof/>
        </w:rPr>
        <w:t xml:space="preserve"> </w:t>
      </w:r>
    </w:p>
    <w:sectPr w:rsidR="00683404" w:rsidRPr="00E3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172"/>
    <w:multiLevelType w:val="multilevel"/>
    <w:tmpl w:val="41C2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719F"/>
    <w:multiLevelType w:val="hybridMultilevel"/>
    <w:tmpl w:val="72F8F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4528C"/>
    <w:multiLevelType w:val="hybridMultilevel"/>
    <w:tmpl w:val="0768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F5592"/>
    <w:multiLevelType w:val="hybridMultilevel"/>
    <w:tmpl w:val="1CDED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815CB"/>
    <w:multiLevelType w:val="hybridMultilevel"/>
    <w:tmpl w:val="27265F68"/>
    <w:lvl w:ilvl="0" w:tplc="0409000F">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DB7E3E"/>
    <w:multiLevelType w:val="hybridMultilevel"/>
    <w:tmpl w:val="ED6A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587A93"/>
    <w:multiLevelType w:val="hybridMultilevel"/>
    <w:tmpl w:val="B492C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E65FD"/>
    <w:multiLevelType w:val="hybridMultilevel"/>
    <w:tmpl w:val="A0487104"/>
    <w:lvl w:ilvl="0" w:tplc="FFFFFFF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 w15:restartNumberingAfterBreak="0">
    <w:nsid w:val="7B04262A"/>
    <w:multiLevelType w:val="hybridMultilevel"/>
    <w:tmpl w:val="B94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56B1C"/>
    <w:multiLevelType w:val="hybridMultilevel"/>
    <w:tmpl w:val="A0487104"/>
    <w:lvl w:ilvl="0" w:tplc="FFFFFFF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16185649">
    <w:abstractNumId w:val="0"/>
  </w:num>
  <w:num w:numId="2" w16cid:durableId="1579942261">
    <w:abstractNumId w:val="3"/>
  </w:num>
  <w:num w:numId="3" w16cid:durableId="1268388881">
    <w:abstractNumId w:val="4"/>
  </w:num>
  <w:num w:numId="4" w16cid:durableId="984158956">
    <w:abstractNumId w:val="1"/>
  </w:num>
  <w:num w:numId="5" w16cid:durableId="1755513213">
    <w:abstractNumId w:val="5"/>
  </w:num>
  <w:num w:numId="6" w16cid:durableId="1432817033">
    <w:abstractNumId w:val="2"/>
  </w:num>
  <w:num w:numId="7" w16cid:durableId="483160177">
    <w:abstractNumId w:val="9"/>
  </w:num>
  <w:num w:numId="8" w16cid:durableId="1463424601">
    <w:abstractNumId w:val="7"/>
  </w:num>
  <w:num w:numId="9" w16cid:durableId="1308972557">
    <w:abstractNumId w:val="8"/>
  </w:num>
  <w:num w:numId="10" w16cid:durableId="1410468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61"/>
    <w:rsid w:val="001323B0"/>
    <w:rsid w:val="001A52F5"/>
    <w:rsid w:val="0020367F"/>
    <w:rsid w:val="0020517A"/>
    <w:rsid w:val="00244C93"/>
    <w:rsid w:val="00245B0E"/>
    <w:rsid w:val="002468F8"/>
    <w:rsid w:val="00256277"/>
    <w:rsid w:val="002644BF"/>
    <w:rsid w:val="002E7758"/>
    <w:rsid w:val="0034504D"/>
    <w:rsid w:val="00350EEB"/>
    <w:rsid w:val="00393AEB"/>
    <w:rsid w:val="003E297C"/>
    <w:rsid w:val="003F661E"/>
    <w:rsid w:val="004024B3"/>
    <w:rsid w:val="00447A35"/>
    <w:rsid w:val="0049702B"/>
    <w:rsid w:val="004A13D2"/>
    <w:rsid w:val="004A5D28"/>
    <w:rsid w:val="004A604F"/>
    <w:rsid w:val="004F7136"/>
    <w:rsid w:val="004F73D1"/>
    <w:rsid w:val="00543E5C"/>
    <w:rsid w:val="005464FB"/>
    <w:rsid w:val="0058094D"/>
    <w:rsid w:val="005903B6"/>
    <w:rsid w:val="005A5D7C"/>
    <w:rsid w:val="005B1661"/>
    <w:rsid w:val="005C7674"/>
    <w:rsid w:val="005D115A"/>
    <w:rsid w:val="00683404"/>
    <w:rsid w:val="006B1C39"/>
    <w:rsid w:val="006E154C"/>
    <w:rsid w:val="00722FC5"/>
    <w:rsid w:val="0076590A"/>
    <w:rsid w:val="007C1A9B"/>
    <w:rsid w:val="007C5532"/>
    <w:rsid w:val="007D6BC1"/>
    <w:rsid w:val="0081588C"/>
    <w:rsid w:val="00830B0B"/>
    <w:rsid w:val="00832385"/>
    <w:rsid w:val="00844A18"/>
    <w:rsid w:val="008464B5"/>
    <w:rsid w:val="00895BC5"/>
    <w:rsid w:val="008A21B2"/>
    <w:rsid w:val="008B2865"/>
    <w:rsid w:val="008D4631"/>
    <w:rsid w:val="008E59B9"/>
    <w:rsid w:val="00920C0D"/>
    <w:rsid w:val="009723DF"/>
    <w:rsid w:val="00990DEC"/>
    <w:rsid w:val="009D492B"/>
    <w:rsid w:val="009E5B25"/>
    <w:rsid w:val="009E5C93"/>
    <w:rsid w:val="009F6C67"/>
    <w:rsid w:val="00A449B9"/>
    <w:rsid w:val="00A65FD8"/>
    <w:rsid w:val="00A846C8"/>
    <w:rsid w:val="00A84DF0"/>
    <w:rsid w:val="00AB69D4"/>
    <w:rsid w:val="00AB6B6A"/>
    <w:rsid w:val="00AC04E8"/>
    <w:rsid w:val="00AF3FB5"/>
    <w:rsid w:val="00B04118"/>
    <w:rsid w:val="00B061C7"/>
    <w:rsid w:val="00B179B6"/>
    <w:rsid w:val="00BA72F2"/>
    <w:rsid w:val="00BE4482"/>
    <w:rsid w:val="00C15430"/>
    <w:rsid w:val="00C73744"/>
    <w:rsid w:val="00D42287"/>
    <w:rsid w:val="00D56947"/>
    <w:rsid w:val="00D70330"/>
    <w:rsid w:val="00D730DA"/>
    <w:rsid w:val="00D864C1"/>
    <w:rsid w:val="00D92B46"/>
    <w:rsid w:val="00DB49B6"/>
    <w:rsid w:val="00DC4460"/>
    <w:rsid w:val="00E135DE"/>
    <w:rsid w:val="00E163C7"/>
    <w:rsid w:val="00E35FCC"/>
    <w:rsid w:val="00E60905"/>
    <w:rsid w:val="00EB19BE"/>
    <w:rsid w:val="00EB7A4B"/>
    <w:rsid w:val="00EB7D2D"/>
    <w:rsid w:val="00EF61A4"/>
    <w:rsid w:val="00F21A91"/>
    <w:rsid w:val="00FB28C7"/>
    <w:rsid w:val="00FD7907"/>
    <w:rsid w:val="00FF3D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879F"/>
  <w15:chartTrackingRefBased/>
  <w15:docId w15:val="{AA0C4462-E299-41AD-9D1C-63AFAD1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61E"/>
    <w:rPr>
      <w:color w:val="0563C1" w:themeColor="hyperlink"/>
      <w:u w:val="single"/>
    </w:rPr>
  </w:style>
  <w:style w:type="character" w:styleId="UnresolvedMention">
    <w:name w:val="Unresolved Mention"/>
    <w:basedOn w:val="DefaultParagraphFont"/>
    <w:uiPriority w:val="99"/>
    <w:semiHidden/>
    <w:unhideWhenUsed/>
    <w:rsid w:val="003F661E"/>
    <w:rPr>
      <w:color w:val="605E5C"/>
      <w:shd w:val="clear" w:color="auto" w:fill="E1DFDD"/>
    </w:rPr>
  </w:style>
  <w:style w:type="character" w:styleId="FollowedHyperlink">
    <w:name w:val="FollowedHyperlink"/>
    <w:basedOn w:val="DefaultParagraphFont"/>
    <w:uiPriority w:val="99"/>
    <w:semiHidden/>
    <w:unhideWhenUsed/>
    <w:rsid w:val="00244C93"/>
    <w:rPr>
      <w:color w:val="954F72" w:themeColor="followedHyperlink"/>
      <w:u w:val="single"/>
    </w:rPr>
  </w:style>
  <w:style w:type="paragraph" w:styleId="ListParagraph">
    <w:name w:val="List Paragraph"/>
    <w:basedOn w:val="Normal"/>
    <w:uiPriority w:val="34"/>
    <w:qFormat/>
    <w:rsid w:val="005903B6"/>
    <w:pPr>
      <w:spacing w:after="0" w:line="240" w:lineRule="auto"/>
      <w:ind w:left="720"/>
      <w:contextualSpacing/>
    </w:pPr>
    <w:rPr>
      <w:rFonts w:eastAsiaTheme="minorEastAsia"/>
      <w:kern w:val="2"/>
      <w:sz w:val="24"/>
      <w:szCs w:val="24"/>
      <w:lang w:eastAsia="zh-CN"/>
      <w14:ligatures w14:val="standardContextual"/>
    </w:rPr>
  </w:style>
  <w:style w:type="paragraph" w:customStyle="1" w:styleId="Default">
    <w:name w:val="Default"/>
    <w:rsid w:val="005903B6"/>
    <w:pPr>
      <w:autoSpaceDE w:val="0"/>
      <w:autoSpaceDN w:val="0"/>
      <w:adjustRightInd w:val="0"/>
      <w:spacing w:after="0" w:line="240" w:lineRule="auto"/>
    </w:pPr>
    <w:rPr>
      <w:rFonts w:ascii="Arial" w:eastAsiaTheme="minorEastAsia" w:hAnsi="Arial" w:cs="Arial"/>
      <w:color w:val="000000"/>
      <w:sz w:val="24"/>
      <w:szCs w:val="24"/>
      <w:lang w:eastAsia="zh-CN"/>
      <w14:ligatures w14:val="standardContextual"/>
    </w:rPr>
  </w:style>
  <w:style w:type="character" w:customStyle="1" w:styleId="al-author-delim">
    <w:name w:val="al-author-delim"/>
    <w:basedOn w:val="DefaultParagraphFont"/>
    <w:rsid w:val="005903B6"/>
  </w:style>
  <w:style w:type="character" w:customStyle="1" w:styleId="apple-converted-space">
    <w:name w:val="apple-converted-space"/>
    <w:basedOn w:val="DefaultParagraphFont"/>
    <w:rsid w:val="005903B6"/>
  </w:style>
  <w:style w:type="character" w:styleId="Emphasis">
    <w:name w:val="Emphasis"/>
    <w:basedOn w:val="DefaultParagraphFont"/>
    <w:uiPriority w:val="20"/>
    <w:qFormat/>
    <w:rsid w:val="005903B6"/>
    <w:rPr>
      <w:i/>
      <w:iCs/>
    </w:rPr>
  </w:style>
  <w:style w:type="paragraph" w:styleId="NormalWeb">
    <w:name w:val="Normal (Web)"/>
    <w:basedOn w:val="Normal"/>
    <w:uiPriority w:val="99"/>
    <w:unhideWhenUsed/>
    <w:rsid w:val="005903B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B04118"/>
    <w:rPr>
      <w:sz w:val="16"/>
      <w:szCs w:val="16"/>
    </w:rPr>
  </w:style>
  <w:style w:type="paragraph" w:styleId="CommentText">
    <w:name w:val="annotation text"/>
    <w:basedOn w:val="Normal"/>
    <w:link w:val="CommentTextChar"/>
    <w:uiPriority w:val="99"/>
    <w:semiHidden/>
    <w:unhideWhenUsed/>
    <w:rsid w:val="00B04118"/>
    <w:pPr>
      <w:spacing w:line="240" w:lineRule="auto"/>
    </w:pPr>
    <w:rPr>
      <w:sz w:val="20"/>
      <w:szCs w:val="20"/>
    </w:rPr>
  </w:style>
  <w:style w:type="character" w:customStyle="1" w:styleId="CommentTextChar">
    <w:name w:val="Comment Text Char"/>
    <w:basedOn w:val="DefaultParagraphFont"/>
    <w:link w:val="CommentText"/>
    <w:uiPriority w:val="99"/>
    <w:semiHidden/>
    <w:rsid w:val="00B04118"/>
    <w:rPr>
      <w:sz w:val="20"/>
      <w:szCs w:val="20"/>
    </w:rPr>
  </w:style>
  <w:style w:type="paragraph" w:styleId="CommentSubject">
    <w:name w:val="annotation subject"/>
    <w:basedOn w:val="CommentText"/>
    <w:next w:val="CommentText"/>
    <w:link w:val="CommentSubjectChar"/>
    <w:uiPriority w:val="99"/>
    <w:semiHidden/>
    <w:unhideWhenUsed/>
    <w:rsid w:val="00B04118"/>
    <w:rPr>
      <w:b/>
      <w:bCs/>
    </w:rPr>
  </w:style>
  <w:style w:type="character" w:customStyle="1" w:styleId="CommentSubjectChar">
    <w:name w:val="Comment Subject Char"/>
    <w:basedOn w:val="CommentTextChar"/>
    <w:link w:val="CommentSubject"/>
    <w:uiPriority w:val="99"/>
    <w:semiHidden/>
    <w:rsid w:val="00B04118"/>
    <w:rPr>
      <w:b/>
      <w:bCs/>
      <w:sz w:val="20"/>
      <w:szCs w:val="20"/>
    </w:rPr>
  </w:style>
  <w:style w:type="paragraph" w:styleId="Revision">
    <w:name w:val="Revision"/>
    <w:hidden/>
    <w:uiPriority w:val="99"/>
    <w:semiHidden/>
    <w:rsid w:val="00393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728">
      <w:bodyDiv w:val="1"/>
      <w:marLeft w:val="0"/>
      <w:marRight w:val="0"/>
      <w:marTop w:val="0"/>
      <w:marBottom w:val="0"/>
      <w:divBdr>
        <w:top w:val="none" w:sz="0" w:space="0" w:color="auto"/>
        <w:left w:val="none" w:sz="0" w:space="0" w:color="auto"/>
        <w:bottom w:val="none" w:sz="0" w:space="0" w:color="auto"/>
        <w:right w:val="none" w:sz="0" w:space="0" w:color="auto"/>
      </w:divBdr>
    </w:div>
    <w:div w:id="130369845">
      <w:bodyDiv w:val="1"/>
      <w:marLeft w:val="0"/>
      <w:marRight w:val="0"/>
      <w:marTop w:val="0"/>
      <w:marBottom w:val="0"/>
      <w:divBdr>
        <w:top w:val="none" w:sz="0" w:space="0" w:color="auto"/>
        <w:left w:val="none" w:sz="0" w:space="0" w:color="auto"/>
        <w:bottom w:val="none" w:sz="0" w:space="0" w:color="auto"/>
        <w:right w:val="none" w:sz="0" w:space="0" w:color="auto"/>
      </w:divBdr>
    </w:div>
    <w:div w:id="404687522">
      <w:bodyDiv w:val="1"/>
      <w:marLeft w:val="0"/>
      <w:marRight w:val="0"/>
      <w:marTop w:val="0"/>
      <w:marBottom w:val="0"/>
      <w:divBdr>
        <w:top w:val="none" w:sz="0" w:space="0" w:color="auto"/>
        <w:left w:val="none" w:sz="0" w:space="0" w:color="auto"/>
        <w:bottom w:val="none" w:sz="0" w:space="0" w:color="auto"/>
        <w:right w:val="none" w:sz="0" w:space="0" w:color="auto"/>
      </w:divBdr>
    </w:div>
    <w:div w:id="547881944">
      <w:bodyDiv w:val="1"/>
      <w:marLeft w:val="0"/>
      <w:marRight w:val="0"/>
      <w:marTop w:val="0"/>
      <w:marBottom w:val="0"/>
      <w:divBdr>
        <w:top w:val="none" w:sz="0" w:space="0" w:color="auto"/>
        <w:left w:val="none" w:sz="0" w:space="0" w:color="auto"/>
        <w:bottom w:val="none" w:sz="0" w:space="0" w:color="auto"/>
        <w:right w:val="none" w:sz="0" w:space="0" w:color="auto"/>
      </w:divBdr>
    </w:div>
    <w:div w:id="640616067">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1306399536">
      <w:bodyDiv w:val="1"/>
      <w:marLeft w:val="0"/>
      <w:marRight w:val="0"/>
      <w:marTop w:val="0"/>
      <w:marBottom w:val="0"/>
      <w:divBdr>
        <w:top w:val="none" w:sz="0" w:space="0" w:color="auto"/>
        <w:left w:val="none" w:sz="0" w:space="0" w:color="auto"/>
        <w:bottom w:val="none" w:sz="0" w:space="0" w:color="auto"/>
        <w:right w:val="none" w:sz="0" w:space="0" w:color="auto"/>
      </w:divBdr>
    </w:div>
    <w:div w:id="1530602617">
      <w:bodyDiv w:val="1"/>
      <w:marLeft w:val="0"/>
      <w:marRight w:val="0"/>
      <w:marTop w:val="0"/>
      <w:marBottom w:val="0"/>
      <w:divBdr>
        <w:top w:val="none" w:sz="0" w:space="0" w:color="auto"/>
        <w:left w:val="none" w:sz="0" w:space="0" w:color="auto"/>
        <w:bottom w:val="none" w:sz="0" w:space="0" w:color="auto"/>
        <w:right w:val="none" w:sz="0" w:space="0" w:color="auto"/>
      </w:divBdr>
    </w:div>
    <w:div w:id="1549025791">
      <w:bodyDiv w:val="1"/>
      <w:marLeft w:val="0"/>
      <w:marRight w:val="0"/>
      <w:marTop w:val="0"/>
      <w:marBottom w:val="0"/>
      <w:divBdr>
        <w:top w:val="none" w:sz="0" w:space="0" w:color="auto"/>
        <w:left w:val="none" w:sz="0" w:space="0" w:color="auto"/>
        <w:bottom w:val="none" w:sz="0" w:space="0" w:color="auto"/>
        <w:right w:val="none" w:sz="0" w:space="0" w:color="auto"/>
      </w:divBdr>
    </w:div>
    <w:div w:id="1583030050">
      <w:bodyDiv w:val="1"/>
      <w:marLeft w:val="0"/>
      <w:marRight w:val="0"/>
      <w:marTop w:val="0"/>
      <w:marBottom w:val="0"/>
      <w:divBdr>
        <w:top w:val="none" w:sz="0" w:space="0" w:color="auto"/>
        <w:left w:val="none" w:sz="0" w:space="0" w:color="auto"/>
        <w:bottom w:val="none" w:sz="0" w:space="0" w:color="auto"/>
        <w:right w:val="none" w:sz="0" w:space="0" w:color="auto"/>
      </w:divBdr>
    </w:div>
    <w:div w:id="1641418153">
      <w:bodyDiv w:val="1"/>
      <w:marLeft w:val="0"/>
      <w:marRight w:val="0"/>
      <w:marTop w:val="0"/>
      <w:marBottom w:val="0"/>
      <w:divBdr>
        <w:top w:val="none" w:sz="0" w:space="0" w:color="auto"/>
        <w:left w:val="none" w:sz="0" w:space="0" w:color="auto"/>
        <w:bottom w:val="none" w:sz="0" w:space="0" w:color="auto"/>
        <w:right w:val="none" w:sz="0" w:space="0" w:color="auto"/>
      </w:divBdr>
    </w:div>
    <w:div w:id="1850369500">
      <w:bodyDiv w:val="1"/>
      <w:marLeft w:val="0"/>
      <w:marRight w:val="0"/>
      <w:marTop w:val="0"/>
      <w:marBottom w:val="0"/>
      <w:divBdr>
        <w:top w:val="none" w:sz="0" w:space="0" w:color="auto"/>
        <w:left w:val="none" w:sz="0" w:space="0" w:color="auto"/>
        <w:bottom w:val="none" w:sz="0" w:space="0" w:color="auto"/>
        <w:right w:val="none" w:sz="0" w:space="0" w:color="auto"/>
      </w:divBdr>
    </w:div>
    <w:div w:id="2047022956">
      <w:bodyDiv w:val="1"/>
      <w:marLeft w:val="0"/>
      <w:marRight w:val="0"/>
      <w:marTop w:val="0"/>
      <w:marBottom w:val="0"/>
      <w:divBdr>
        <w:top w:val="none" w:sz="0" w:space="0" w:color="auto"/>
        <w:left w:val="none" w:sz="0" w:space="0" w:color="auto"/>
        <w:bottom w:val="none" w:sz="0" w:space="0" w:color="auto"/>
        <w:right w:val="none" w:sz="0" w:space="0" w:color="auto"/>
      </w:divBdr>
    </w:div>
    <w:div w:id="20713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300/JGME-D-19-00250.1" TargetMode="External"/><Relationship Id="rId13" Type="http://schemas.openxmlformats.org/officeDocument/2006/relationships/hyperlink" Target="http://dx.doi.org/10.1016/j.acap.2018.11.006" TargetMode="External"/><Relationship Id="rId18" Type="http://schemas.openxmlformats.org/officeDocument/2006/relationships/hyperlink" Target="http://dx.doi.org/10.1007/s40746-019-00147-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doi.org/10.1542/hpeds.2023-007228" TargetMode="External"/><Relationship Id="rId12" Type="http://schemas.openxmlformats.org/officeDocument/2006/relationships/hyperlink" Target="http://dx.doi.org/10.4300/JGME-D-18-00262.1" TargetMode="External"/><Relationship Id="rId17" Type="http://schemas.openxmlformats.org/officeDocument/2006/relationships/hyperlink" Target="http://dx.doi.org/10.3109/0142159X.2013.774082"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dx.doi.org/10.4300/JGME-D-17-00126.1"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acgme.org/globalassets/pfassets/programrequirements/cprresidency_2023.pdf" TargetMode="External"/><Relationship Id="rId11" Type="http://schemas.openxmlformats.org/officeDocument/2006/relationships/hyperlink" Target="https://www.acgme.org/globalassets/pfassets/programrequirements/cprresidency_2023.pdf" TargetMode="External"/><Relationship Id="rId24" Type="http://schemas.openxmlformats.org/officeDocument/2006/relationships/image" Target="media/image6.png"/><Relationship Id="rId5" Type="http://schemas.openxmlformats.org/officeDocument/2006/relationships/hyperlink" Target="https://www.acgme.org/globalassets/pfassets/programrequirements/320_pediatrics_2022_tcc.pdf" TargetMode="External"/><Relationship Id="rId15" Type="http://schemas.openxmlformats.org/officeDocument/2006/relationships/hyperlink" Target="http://dx.doi.org/10.1016/j.acap.2020.07.019" TargetMode="External"/><Relationship Id="rId23" Type="http://schemas.openxmlformats.org/officeDocument/2006/relationships/image" Target="media/image5.png"/><Relationship Id="rId10" Type="http://schemas.openxmlformats.org/officeDocument/2006/relationships/hyperlink" Target="https://doi.org/10.1007/s40670-020-01100-1"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dx.doi.org/10.4300/JGME-D-21-00212.1" TargetMode="External"/><Relationship Id="rId14" Type="http://schemas.openxmlformats.org/officeDocument/2006/relationships/hyperlink" Target="http://dx.doi.org/10.1097/ALN.0b013e31829b34bd"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Gellin, Caren</dc:creator>
  <cp:keywords/>
  <dc:description/>
  <cp:lastModifiedBy>Gellin, Caren</cp:lastModifiedBy>
  <cp:revision>4</cp:revision>
  <dcterms:created xsi:type="dcterms:W3CDTF">2024-04-04T15:55:00Z</dcterms:created>
  <dcterms:modified xsi:type="dcterms:W3CDTF">2024-05-28T18:51:00Z</dcterms:modified>
</cp:coreProperties>
</file>